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81" w:rsidRPr="008E442A" w:rsidRDefault="001F3181" w:rsidP="001F31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/>
        <w:ind w:right="78"/>
        <w:jc w:val="center"/>
        <w:rPr>
          <w:b/>
          <w:color w:val="000000"/>
        </w:rPr>
      </w:pPr>
    </w:p>
    <w:p w:rsidR="001F3181" w:rsidRPr="008E442A" w:rsidRDefault="001F3181" w:rsidP="001F31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beforeAutospacing="1" w:after="100" w:afterAutospacing="1" w:line="360" w:lineRule="auto"/>
        <w:ind w:right="78"/>
        <w:jc w:val="center"/>
        <w:rPr>
          <w:b/>
          <w:color w:val="000000"/>
        </w:rPr>
      </w:pPr>
      <w:r w:rsidRPr="008E442A">
        <w:rPr>
          <w:b/>
          <w:color w:val="000000"/>
        </w:rPr>
        <w:t xml:space="preserve">RESOLUÇÃO Nº 008/2019-CSDPE/AM </w:t>
      </w:r>
      <w:r>
        <w:rPr>
          <w:b/>
          <w:color w:val="000000"/>
        </w:rPr>
        <w:t>(CONSOLIDADA)</w:t>
      </w:r>
    </w:p>
    <w:p w:rsidR="001F3181" w:rsidRPr="008E442A" w:rsidRDefault="001F3181" w:rsidP="001F31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beforeAutospacing="1" w:after="100" w:afterAutospacing="1" w:line="360" w:lineRule="auto"/>
        <w:ind w:right="78"/>
        <w:rPr>
          <w:color w:val="000000"/>
        </w:rPr>
      </w:pPr>
      <w:r w:rsidRPr="008E442A">
        <w:rPr>
          <w:b/>
          <w:color w:val="000000"/>
        </w:rPr>
        <w:t>O CONSELHO SUPERIOR DA DEFENSORIA PÚBLICA DO ESTADO DO AMAZONAS</w:t>
      </w:r>
      <w:r w:rsidRPr="008E442A">
        <w:rPr>
          <w:color w:val="000000"/>
        </w:rPr>
        <w:t>, no uso de suas atribuições legais previstas no artigo 14, XXII, do Regimento Interno do Conselho Superior da Defensoria Pública, Resolução nº 004/2012, de 24 de maio de 2012,</w:t>
      </w:r>
    </w:p>
    <w:p w:rsidR="001F3181" w:rsidRPr="008E442A" w:rsidRDefault="001F3181" w:rsidP="001F31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beforeAutospacing="1" w:after="100" w:afterAutospacing="1" w:line="360" w:lineRule="auto"/>
        <w:ind w:right="78"/>
        <w:jc w:val="both"/>
        <w:rPr>
          <w:color w:val="000000"/>
        </w:rPr>
      </w:pPr>
      <w:r w:rsidRPr="008E442A">
        <w:rPr>
          <w:b/>
          <w:color w:val="000000"/>
        </w:rPr>
        <w:t>CONSIDERANDO</w:t>
      </w:r>
      <w:r w:rsidRPr="008E442A">
        <w:rPr>
          <w:color w:val="000000"/>
        </w:rPr>
        <w:t xml:space="preserve"> a deliberação do Conselho Superior em Reunião Extraordinária datada de 16 de abril de 2019,</w:t>
      </w:r>
    </w:p>
    <w:p w:rsidR="001F3181" w:rsidRPr="008E442A" w:rsidRDefault="001F3181" w:rsidP="001F31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beforeAutospacing="1" w:after="100" w:afterAutospacing="1" w:line="360" w:lineRule="auto"/>
        <w:ind w:right="78"/>
        <w:jc w:val="center"/>
        <w:rPr>
          <w:b/>
          <w:color w:val="000000"/>
        </w:rPr>
      </w:pPr>
      <w:r w:rsidRPr="008E442A">
        <w:rPr>
          <w:b/>
          <w:color w:val="000000"/>
        </w:rPr>
        <w:t>RESOLVE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rFonts w:eastAsia="Calibri"/>
          <w:b/>
        </w:rPr>
        <w:t>Art. 1º</w:t>
      </w:r>
      <w:r w:rsidRPr="008E442A">
        <w:rPr>
          <w:rFonts w:eastAsia="Calibri"/>
        </w:rPr>
        <w:t xml:space="preserve"> Ficam estabelecidos os critérios de elegibilidade e as metas a serem aplicadas para o 2º trimestre de 2019, a contar do dia 1º de abril de 2019, servindo estas de parâmetro para promoção, prêmio de produtividade e adicional de desempenho.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rFonts w:eastAsia="Calibri"/>
          <w:b/>
        </w:rPr>
        <w:t>Art. 2º</w:t>
      </w:r>
      <w:r w:rsidRPr="008E442A">
        <w:rPr>
          <w:rFonts w:eastAsia="Calibri"/>
        </w:rPr>
        <w:t xml:space="preserve"> Para que os Defensores Públicos e servidores sejam elegíveis ao recebimento da bonificação, é preciso que atendam aos critérios definidos nos artigos 2º e 3º da Resolução n. 001/2019.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rFonts w:eastAsia="Calibri"/>
        </w:rPr>
        <w:t>Parágrafo único. A reunião a que se refere o art. 2º, I da Resolução 001/2019, para os defensores públicos com atuação no interior do Estado, será aquela organizada e dirigida pelo coordenador do respectivo Polo.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rFonts w:eastAsia="Calibri"/>
          <w:b/>
        </w:rPr>
        <w:t>Art. 3º</w:t>
      </w:r>
      <w:r w:rsidRPr="008E442A">
        <w:rPr>
          <w:rFonts w:eastAsia="Calibri"/>
        </w:rPr>
        <w:t xml:space="preserve"> Os núcleos, unidades, órgãos de atuação, órgãos da administração e demais equipes de trabalho que compõem as unidades de avaliação farão jus à bonificação quando atingidas as metas e faixas correspondentes aos resultados, conforme tabelas constantes do artigo 4º da Resolução n. 001/2019.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rFonts w:eastAsia="Calibri"/>
          <w:b/>
        </w:rPr>
        <w:t>§1°</w:t>
      </w:r>
      <w:r w:rsidRPr="008E442A">
        <w:rPr>
          <w:rFonts w:eastAsia="Calibri"/>
        </w:rPr>
        <w:t xml:space="preserve"> Em relação aos Defensores Públicos, o pagamento observará a tabela abaixo:</w:t>
      </w:r>
    </w:p>
    <w:tbl>
      <w:tblPr>
        <w:tblW w:w="7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266"/>
        <w:gridCol w:w="1267"/>
        <w:gridCol w:w="1267"/>
        <w:gridCol w:w="1307"/>
      </w:tblGrid>
      <w:tr w:rsidR="001F3181" w:rsidRPr="008E442A" w:rsidTr="00CD5988">
        <w:tc>
          <w:tcPr>
            <w:tcW w:w="1951" w:type="dxa"/>
          </w:tcPr>
          <w:p w:rsidR="001F3181" w:rsidRPr="008E442A" w:rsidRDefault="001F3181" w:rsidP="00CD5988"/>
          <w:p w:rsidR="001F3181" w:rsidRPr="008E442A" w:rsidRDefault="001F3181" w:rsidP="00CD5988">
            <w:r w:rsidRPr="008E442A">
              <w:t>METAS SETORIAIS</w:t>
            </w:r>
          </w:p>
        </w:tc>
        <w:tc>
          <w:tcPr>
            <w:tcW w:w="1266" w:type="dxa"/>
          </w:tcPr>
          <w:p w:rsidR="001F3181" w:rsidRPr="008E442A" w:rsidRDefault="001F3181" w:rsidP="00CD5988">
            <w:r w:rsidRPr="008E442A">
              <w:t>FAIXA 1</w:t>
            </w:r>
          </w:p>
        </w:tc>
        <w:tc>
          <w:tcPr>
            <w:tcW w:w="1267" w:type="dxa"/>
          </w:tcPr>
          <w:p w:rsidR="001F3181" w:rsidRPr="008E442A" w:rsidRDefault="001F3181" w:rsidP="00CD5988">
            <w:r w:rsidRPr="008E442A">
              <w:t>FAIXA 2</w:t>
            </w:r>
          </w:p>
        </w:tc>
        <w:tc>
          <w:tcPr>
            <w:tcW w:w="1267" w:type="dxa"/>
          </w:tcPr>
          <w:p w:rsidR="001F3181" w:rsidRPr="008E442A" w:rsidRDefault="001F3181" w:rsidP="00CD5988">
            <w:r w:rsidRPr="008E442A">
              <w:t>FAIXA 3</w:t>
            </w:r>
          </w:p>
        </w:tc>
        <w:tc>
          <w:tcPr>
            <w:tcW w:w="1307" w:type="dxa"/>
          </w:tcPr>
          <w:p w:rsidR="001F3181" w:rsidRPr="008E442A" w:rsidRDefault="001F3181" w:rsidP="00CD5988">
            <w:r w:rsidRPr="008E442A">
              <w:t>FAIXA 4</w:t>
            </w:r>
          </w:p>
        </w:tc>
      </w:tr>
      <w:tr w:rsidR="001F3181" w:rsidRPr="008E442A" w:rsidTr="00CD5988">
        <w:tc>
          <w:tcPr>
            <w:tcW w:w="1951" w:type="dxa"/>
          </w:tcPr>
          <w:p w:rsidR="001F3181" w:rsidRPr="008E442A" w:rsidRDefault="001F3181" w:rsidP="00CD5988">
            <w:r w:rsidRPr="008E442A">
              <w:t>ATINGIMENTO DA META ( % )</w:t>
            </w:r>
          </w:p>
          <w:p w:rsidR="001F3181" w:rsidRPr="008E442A" w:rsidRDefault="001F3181" w:rsidP="00CD5988"/>
        </w:tc>
        <w:tc>
          <w:tcPr>
            <w:tcW w:w="1266" w:type="dxa"/>
          </w:tcPr>
          <w:p w:rsidR="001F3181" w:rsidRPr="008E442A" w:rsidRDefault="001F3181" w:rsidP="00CD5988">
            <w:r w:rsidRPr="008E442A">
              <w:t>90% - 94,99%</w:t>
            </w:r>
          </w:p>
        </w:tc>
        <w:tc>
          <w:tcPr>
            <w:tcW w:w="1267" w:type="dxa"/>
          </w:tcPr>
          <w:p w:rsidR="001F3181" w:rsidRPr="008E442A" w:rsidRDefault="001F3181" w:rsidP="00CD5988">
            <w:r w:rsidRPr="008E442A">
              <w:t>95% A 99,99%</w:t>
            </w:r>
          </w:p>
        </w:tc>
        <w:tc>
          <w:tcPr>
            <w:tcW w:w="1267" w:type="dxa"/>
          </w:tcPr>
          <w:p w:rsidR="001F3181" w:rsidRPr="008E442A" w:rsidRDefault="001F3181" w:rsidP="00CD5988">
            <w:r w:rsidRPr="008E442A">
              <w:t>100% A 104,99%</w:t>
            </w:r>
          </w:p>
        </w:tc>
        <w:tc>
          <w:tcPr>
            <w:tcW w:w="1307" w:type="dxa"/>
          </w:tcPr>
          <w:p w:rsidR="001F3181" w:rsidRPr="008E442A" w:rsidRDefault="001F3181" w:rsidP="00CD5988">
            <w:r w:rsidRPr="008E442A">
              <w:t>Maior que 105%</w:t>
            </w:r>
          </w:p>
        </w:tc>
      </w:tr>
      <w:tr w:rsidR="001F3181" w:rsidRPr="008E442A" w:rsidTr="00CD5988">
        <w:tc>
          <w:tcPr>
            <w:tcW w:w="1951" w:type="dxa"/>
          </w:tcPr>
          <w:p w:rsidR="001F3181" w:rsidRPr="008E442A" w:rsidRDefault="001F3181" w:rsidP="00CD5988">
            <w:r w:rsidRPr="008E442A">
              <w:t>% DE REMUNERAÇÃO SOBRE O VENCIMENTO</w:t>
            </w:r>
          </w:p>
        </w:tc>
        <w:tc>
          <w:tcPr>
            <w:tcW w:w="1266" w:type="dxa"/>
          </w:tcPr>
          <w:p w:rsidR="001F3181" w:rsidRPr="008E442A" w:rsidRDefault="001F3181" w:rsidP="00CD5988">
            <w:pPr>
              <w:rPr>
                <w:highlight w:val="yellow"/>
              </w:rPr>
            </w:pPr>
            <w:r w:rsidRPr="008E442A">
              <w:rPr>
                <w:highlight w:val="yellow"/>
              </w:rPr>
              <w:t>1%</w:t>
            </w:r>
          </w:p>
        </w:tc>
        <w:tc>
          <w:tcPr>
            <w:tcW w:w="1267" w:type="dxa"/>
          </w:tcPr>
          <w:p w:rsidR="001F3181" w:rsidRPr="008E442A" w:rsidRDefault="001F3181" w:rsidP="00CD5988">
            <w:pPr>
              <w:rPr>
                <w:highlight w:val="yellow"/>
              </w:rPr>
            </w:pPr>
            <w:r w:rsidRPr="008E442A">
              <w:rPr>
                <w:highlight w:val="yellow"/>
              </w:rPr>
              <w:t>3%</w:t>
            </w:r>
          </w:p>
        </w:tc>
        <w:tc>
          <w:tcPr>
            <w:tcW w:w="1267" w:type="dxa"/>
          </w:tcPr>
          <w:p w:rsidR="001F3181" w:rsidRPr="008E442A" w:rsidRDefault="001F3181" w:rsidP="00CD5988">
            <w:pPr>
              <w:rPr>
                <w:highlight w:val="yellow"/>
              </w:rPr>
            </w:pPr>
            <w:r w:rsidRPr="008E442A">
              <w:rPr>
                <w:highlight w:val="yellow"/>
              </w:rPr>
              <w:t>6%</w:t>
            </w:r>
          </w:p>
        </w:tc>
        <w:tc>
          <w:tcPr>
            <w:tcW w:w="1307" w:type="dxa"/>
          </w:tcPr>
          <w:p w:rsidR="001F3181" w:rsidRPr="008E442A" w:rsidRDefault="001F3181" w:rsidP="00CD5988">
            <w:pPr>
              <w:rPr>
                <w:highlight w:val="yellow"/>
              </w:rPr>
            </w:pPr>
            <w:r w:rsidRPr="008E442A">
              <w:rPr>
                <w:highlight w:val="yellow"/>
              </w:rPr>
              <w:t>10%</w:t>
            </w:r>
          </w:p>
        </w:tc>
      </w:tr>
    </w:tbl>
    <w:p w:rsidR="001F3181" w:rsidRPr="008E442A" w:rsidRDefault="001F3181" w:rsidP="001F3181">
      <w:pPr>
        <w:rPr>
          <w:rFonts w:eastAsia="Calibri"/>
        </w:rPr>
      </w:pPr>
    </w:p>
    <w:p w:rsidR="001F3181" w:rsidRPr="008E442A" w:rsidRDefault="001F3181" w:rsidP="001F3181">
      <w:pPr>
        <w:jc w:val="both"/>
        <w:rPr>
          <w:rFonts w:eastAsia="Calibri"/>
        </w:rPr>
      </w:pPr>
      <w:r w:rsidRPr="008E442A">
        <w:rPr>
          <w:rFonts w:eastAsia="Calibri"/>
          <w:b/>
        </w:rPr>
        <w:t>§2°</w:t>
      </w:r>
      <w:r>
        <w:rPr>
          <w:rFonts w:eastAsia="Calibri"/>
        </w:rPr>
        <w:t xml:space="preserve"> </w:t>
      </w:r>
      <w:r w:rsidRPr="008E442A">
        <w:rPr>
          <w:rFonts w:eastAsia="Calibri"/>
        </w:rPr>
        <w:t>Para a composição da avaliação individual de desempenho para os servidores em estágio probatório será considerada a nota da avaliação especial de desempenho do último trimestre.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rFonts w:eastAsia="Calibri"/>
          <w:b/>
        </w:rPr>
        <w:t>Art. 4º</w:t>
      </w:r>
      <w:r w:rsidRPr="008E442A">
        <w:rPr>
          <w:rFonts w:eastAsia="Calibri"/>
        </w:rPr>
        <w:t xml:space="preserve"> Aplicar-se-á ao 2º trimestre o disposto nos artigos 5º, 6º, 7º, 8º e 9º da Resolução n. 001/2019.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rFonts w:eastAsia="Calibri"/>
          <w:b/>
        </w:rPr>
        <w:t>Art. 5º</w:t>
      </w:r>
      <w:r w:rsidRPr="008E442A">
        <w:rPr>
          <w:rFonts w:eastAsia="Calibri"/>
        </w:rPr>
        <w:t xml:space="preserve"> Somente os atos registrados no sistema de relatórios até o 10º dia subsequente ao da prática serão considerados no cômputo de avaliação.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rFonts w:eastAsia="Calibri"/>
        </w:rPr>
        <w:t xml:space="preserve">Parágrafo único. No último mês </w:t>
      </w:r>
      <w:r w:rsidRPr="008E442A">
        <w:rPr>
          <w:rFonts w:eastAsia="Calibri"/>
          <w:color w:val="FF0000"/>
        </w:rPr>
        <w:t>de</w:t>
      </w:r>
      <w:r w:rsidRPr="008E442A">
        <w:rPr>
          <w:rFonts w:eastAsia="Calibri"/>
        </w:rPr>
        <w:t xml:space="preserve"> cada trimestre, serão considerados apenas os atos lançados até o 5º dia útil do mês subsequente, respeitada a regra do </w:t>
      </w:r>
      <w:r w:rsidRPr="008E442A">
        <w:rPr>
          <w:rFonts w:eastAsia="Calibri"/>
          <w:i/>
        </w:rPr>
        <w:t>caput</w:t>
      </w:r>
      <w:r w:rsidRPr="008E442A">
        <w:rPr>
          <w:rFonts w:eastAsia="Calibri"/>
        </w:rPr>
        <w:t>.</w:t>
      </w:r>
    </w:p>
    <w:p w:rsidR="001F3181" w:rsidRDefault="001F3181" w:rsidP="001F3181">
      <w:pPr>
        <w:spacing w:before="200" w:line="360" w:lineRule="auto"/>
        <w:jc w:val="both"/>
        <w:rPr>
          <w:rFonts w:eastAsia="Calibri"/>
          <w:u w:val="single"/>
        </w:rPr>
      </w:pPr>
      <w:r w:rsidRPr="008E442A">
        <w:rPr>
          <w:rFonts w:eastAsia="Calibri"/>
          <w:b/>
        </w:rPr>
        <w:t>Art. 6º</w:t>
      </w:r>
      <w:r w:rsidRPr="00A518D1">
        <w:rPr>
          <w:rFonts w:eastAsia="Calibri"/>
        </w:rPr>
        <w:t xml:space="preserve"> Os dias de eventual inoperância do serviço de internet oferecido pela Defensoria Pública ou indisponibilidade de acesso aos sistemas de consulta de autos/peticionamento não serão considerados como dias úteis.</w:t>
      </w:r>
      <w:r>
        <w:rPr>
          <w:rFonts w:eastAsia="Calibri"/>
        </w:rPr>
        <w:t xml:space="preserve"> </w:t>
      </w:r>
      <w:r w:rsidRPr="00A518D1">
        <w:rPr>
          <w:rFonts w:eastAsia="Calibri"/>
          <w:u w:val="single"/>
        </w:rPr>
        <w:t>(Alterado pela Resolução nº 017/2019-CSDPE/AM, publicada no DOE/DPE em 13.6.2019)</w:t>
      </w:r>
    </w:p>
    <w:p w:rsidR="001F3181" w:rsidRPr="00A518D1" w:rsidRDefault="001F3181" w:rsidP="001F3181">
      <w:pPr>
        <w:spacing w:before="120" w:after="120" w:line="360" w:lineRule="auto"/>
        <w:ind w:right="40"/>
        <w:jc w:val="both"/>
        <w:rPr>
          <w:rFonts w:eastAsia="Times New Roman"/>
        </w:rPr>
      </w:pPr>
      <w:sdt>
        <w:sdtPr>
          <w:tag w:val="goog_rdk_14"/>
          <w:id w:val="-1712261849"/>
        </w:sdtPr>
        <w:sdtContent>
          <w:r w:rsidRPr="00A518D1">
            <w:rPr>
              <w:rFonts w:eastAsia="Calibri"/>
            </w:rPr>
            <w:t>§1º Considera-se inoperância do serviço de internet as paralisações, em dias úteis, por mais de 60 minutos, ininterruptos ou não, se ocorrida entre 8h00 e 14h00, salvo as Defensorias com funcionamento após as 14h00min, quando se considerará o dia todo.</w:t>
          </w:r>
        </w:sdtContent>
      </w:sdt>
      <w:r>
        <w:t xml:space="preserve"> </w:t>
      </w:r>
      <w:r w:rsidRPr="00A518D1">
        <w:rPr>
          <w:rFonts w:eastAsia="Calibri"/>
          <w:u w:val="single"/>
        </w:rPr>
        <w:t>(</w:t>
      </w:r>
      <w:r>
        <w:rPr>
          <w:rFonts w:eastAsia="Calibri"/>
          <w:u w:val="single"/>
        </w:rPr>
        <w:t xml:space="preserve">Incluído </w:t>
      </w:r>
      <w:r w:rsidRPr="00A518D1">
        <w:rPr>
          <w:rFonts w:eastAsia="Calibri"/>
          <w:u w:val="single"/>
        </w:rPr>
        <w:t>pela Resolução nº 017/2019-CSDPE/AM, publicada no DOE/DPE em 13.6.2019)</w:t>
      </w:r>
    </w:p>
    <w:sdt>
      <w:sdtPr>
        <w:tag w:val="goog_rdk_15"/>
        <w:id w:val="1236583496"/>
      </w:sdtPr>
      <w:sdtContent>
        <w:p w:rsidR="001F3181" w:rsidRPr="00A518D1" w:rsidRDefault="001F3181" w:rsidP="001F3181">
          <w:pPr>
            <w:spacing w:line="360" w:lineRule="auto"/>
            <w:jc w:val="both"/>
            <w:rPr>
              <w:rFonts w:eastAsia="Calibri"/>
            </w:rPr>
          </w:pPr>
          <w:r w:rsidRPr="00A518D1">
            <w:rPr>
              <w:rFonts w:eastAsia="Calibri"/>
            </w:rPr>
            <w:t>§2º Toda indisponibilidade do serviço de internet oferecido pela Defensoria Pública do Estado do Amazonas será registrada em relatório de interrupções disponível no sítio da DPE/AM, devendo conter, pelo menos, as seguintes informações:</w:t>
          </w:r>
          <w:r>
            <w:rPr>
              <w:rFonts w:eastAsia="Calibri"/>
            </w:rPr>
            <w:t xml:space="preserve"> </w:t>
          </w:r>
          <w:r w:rsidRPr="00A518D1">
            <w:rPr>
              <w:rFonts w:eastAsia="Calibri"/>
              <w:u w:val="single"/>
            </w:rPr>
            <w:t>(</w:t>
          </w:r>
          <w:r>
            <w:rPr>
              <w:rFonts w:eastAsia="Calibri"/>
              <w:u w:val="single"/>
            </w:rPr>
            <w:t xml:space="preserve">Incluído </w:t>
          </w:r>
          <w:r w:rsidRPr="00A518D1">
            <w:rPr>
              <w:rFonts w:eastAsia="Calibri"/>
              <w:u w:val="single"/>
            </w:rPr>
            <w:t>pela Resolução nº 017/2019-CSDPE/AM, publicada no DOE/DPE em 13.6.2019)</w:t>
          </w:r>
        </w:p>
      </w:sdtContent>
    </w:sdt>
    <w:sdt>
      <w:sdtPr>
        <w:tag w:val="goog_rdk_16"/>
        <w:id w:val="1908033673"/>
      </w:sdtPr>
      <w:sdtContent>
        <w:p w:rsidR="001F3181" w:rsidRPr="00A518D1" w:rsidRDefault="001F3181" w:rsidP="001F3181">
          <w:pPr>
            <w:spacing w:line="360" w:lineRule="auto"/>
            <w:jc w:val="both"/>
            <w:rPr>
              <w:rFonts w:eastAsia="Calibri"/>
            </w:rPr>
          </w:pPr>
          <w:r w:rsidRPr="00A518D1">
            <w:rPr>
              <w:rFonts w:eastAsia="Calibri"/>
            </w:rPr>
            <w:t>I – data, hora e minuto de início da indisponibilidade;</w:t>
          </w:r>
        </w:p>
      </w:sdtContent>
    </w:sdt>
    <w:sdt>
      <w:sdtPr>
        <w:tag w:val="goog_rdk_17"/>
        <w:id w:val="-110279496"/>
      </w:sdtPr>
      <w:sdtContent>
        <w:p w:rsidR="001F3181" w:rsidRPr="00A518D1" w:rsidRDefault="001F3181" w:rsidP="001F3181">
          <w:pPr>
            <w:spacing w:line="360" w:lineRule="auto"/>
            <w:jc w:val="both"/>
            <w:rPr>
              <w:rFonts w:eastAsia="Calibri"/>
            </w:rPr>
          </w:pPr>
          <w:r w:rsidRPr="00A518D1">
            <w:rPr>
              <w:rFonts w:eastAsia="Calibri"/>
            </w:rPr>
            <w:t>II – data, hora e minuto de término da indisponibilidade.</w:t>
          </w:r>
        </w:p>
      </w:sdtContent>
    </w:sdt>
    <w:sdt>
      <w:sdtPr>
        <w:tag w:val="goog_rdk_18"/>
        <w:id w:val="-1823645893"/>
      </w:sdtPr>
      <w:sdtContent>
        <w:p w:rsidR="001F3181" w:rsidRPr="00A518D1" w:rsidRDefault="001F3181" w:rsidP="001F318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ind w:right="40"/>
            <w:jc w:val="both"/>
            <w:rPr>
              <w:rFonts w:eastAsia="Calibri"/>
            </w:rPr>
          </w:pPr>
          <w:r w:rsidRPr="00A518D1">
            <w:rPr>
              <w:rFonts w:eastAsia="Calibri"/>
            </w:rPr>
            <w:t>§3º Considera-se, ainda, indisponibilidade por motivo técnico a impossibilidade de acesso aos sistemas de consulta de autos/peticionamento mesmo que os serviços de internet estejam em pleno funcionamento, desde que emitida a respectiva declaração de indisponibilidade para SAJ/PROJUDI pela equipe do Tribunal de Justiça do Estado do Amazonas.</w:t>
          </w:r>
          <w:r w:rsidRPr="00A518D1">
            <w:rPr>
              <w:rFonts w:eastAsia="Calibri"/>
              <w:u w:val="single"/>
            </w:rPr>
            <w:t xml:space="preserve"> (</w:t>
          </w:r>
          <w:r>
            <w:rPr>
              <w:rFonts w:eastAsia="Calibri"/>
              <w:u w:val="single"/>
            </w:rPr>
            <w:t xml:space="preserve">Incluído </w:t>
          </w:r>
          <w:r w:rsidRPr="00A518D1">
            <w:rPr>
              <w:rFonts w:eastAsia="Calibri"/>
              <w:u w:val="single"/>
            </w:rPr>
            <w:t>pela Resolução nº 017/2019-CSDPE/AM, publicada no DOE/DPE em 13.6.2019)</w:t>
          </w:r>
        </w:p>
      </w:sdtContent>
    </w:sdt>
    <w:sdt>
      <w:sdtPr>
        <w:tag w:val="goog_rdk_19"/>
        <w:id w:val="-1337225471"/>
      </w:sdtPr>
      <w:sdtContent>
        <w:p w:rsidR="001F3181" w:rsidRPr="00A518D1" w:rsidRDefault="001F3181" w:rsidP="001F318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ind w:right="40"/>
            <w:jc w:val="both"/>
            <w:rPr>
              <w:rFonts w:eastAsia="Calibri"/>
            </w:rPr>
          </w:pPr>
          <w:r w:rsidRPr="00A518D1">
            <w:rPr>
              <w:rFonts w:eastAsia="Calibri"/>
            </w:rPr>
            <w:t>§4º Não será considerada inoperância do serviço de internet ou indisponibilidade de acesso aos sistemas de consulta de autos/peticionamento, as interrupções de serviço decorrentes da falha nos equipamentos dos membros e servidores ou de conexões de internet não oferecidas pela Defensoria Pública do Estado do Amazonas.</w:t>
          </w:r>
          <w:r>
            <w:rPr>
              <w:rFonts w:eastAsia="Calibri"/>
            </w:rPr>
            <w:t xml:space="preserve"> </w:t>
          </w:r>
          <w:r w:rsidRPr="00A518D1">
            <w:rPr>
              <w:rFonts w:eastAsia="Calibri"/>
              <w:u w:val="single"/>
            </w:rPr>
            <w:t>(</w:t>
          </w:r>
          <w:r>
            <w:rPr>
              <w:rFonts w:eastAsia="Calibri"/>
              <w:u w:val="single"/>
            </w:rPr>
            <w:t xml:space="preserve">Incluído </w:t>
          </w:r>
          <w:r w:rsidRPr="00A518D1">
            <w:rPr>
              <w:rFonts w:eastAsia="Calibri"/>
              <w:u w:val="single"/>
            </w:rPr>
            <w:t>pela Resolução nº 017/2019-CSDPE/AM, publicada no DOE/DPE em 13.6.2019)</w:t>
          </w:r>
        </w:p>
      </w:sdtContent>
    </w:sdt>
    <w:p w:rsidR="001F3181" w:rsidRPr="008E442A" w:rsidRDefault="001F3181" w:rsidP="001F3181">
      <w:pPr>
        <w:spacing w:before="200" w:line="360" w:lineRule="auto"/>
        <w:jc w:val="both"/>
        <w:rPr>
          <w:rFonts w:eastAsia="Calibri"/>
          <w:highlight w:val="yellow"/>
        </w:rPr>
      </w:pPr>
      <w:r w:rsidRPr="008E442A">
        <w:rPr>
          <w:rFonts w:eastAsia="Calibri"/>
          <w:b/>
        </w:rPr>
        <w:t>Art. 7º</w:t>
      </w:r>
      <w:r w:rsidRPr="008E442A">
        <w:rPr>
          <w:rFonts w:eastAsia="Calibri"/>
        </w:rPr>
        <w:t xml:space="preserve"> Os indicadores setoriais para órgãos de atuação serão os definidos nos anexos I e II.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rFonts w:eastAsia="Calibri"/>
          <w:b/>
        </w:rPr>
        <w:t>Art. 8º</w:t>
      </w:r>
      <w:r w:rsidRPr="008E442A">
        <w:rPr>
          <w:rFonts w:eastAsia="Calibri"/>
        </w:rPr>
        <w:t xml:space="preserve"> As metas setoriais dos órgãos auxiliares e de atuações serão, respectivamente, as fixadas nos anexos III e IV.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b/>
        </w:rPr>
        <w:t>§1º</w:t>
      </w:r>
      <w:r w:rsidRPr="008E442A">
        <w:rPr>
          <w:rFonts w:eastAsia="Calibri"/>
        </w:rPr>
        <w:t xml:space="preserve"> O Indicador Setorial de satisfação do assistido, constante do Anexo I, terá como meta para todos órgãos de atuação o índice de 30% (trinta por cento).</w:t>
      </w:r>
    </w:p>
    <w:p w:rsidR="001F3181" w:rsidRPr="008E442A" w:rsidRDefault="001F3181" w:rsidP="001F3181">
      <w:pPr>
        <w:spacing w:before="200" w:line="360" w:lineRule="auto"/>
        <w:jc w:val="both"/>
        <w:rPr>
          <w:rFonts w:eastAsia="Calibri"/>
        </w:rPr>
      </w:pPr>
      <w:r w:rsidRPr="008E442A">
        <w:rPr>
          <w:b/>
        </w:rPr>
        <w:t>§2º</w:t>
      </w:r>
      <w:r w:rsidRPr="008E442A">
        <w:t xml:space="preserve"> Para os servidores que desempenham suas atividades na secretaria ou recepção das unidades e não estejam vinculados a órgãos de atuação ou não tenham sua meta definida nos Anexos III ou IV, o </w:t>
      </w:r>
      <w:r w:rsidRPr="008E442A">
        <w:rPr>
          <w:rFonts w:eastAsia="Calibri"/>
        </w:rPr>
        <w:t>Indicador Setorial será a satisfação do assistido e terá como meta o índice de 80% (oitenta por cento).</w:t>
      </w:r>
    </w:p>
    <w:p w:rsidR="001F3181" w:rsidRPr="00031518" w:rsidRDefault="001F3181" w:rsidP="001F318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</w:pPr>
      <w:r w:rsidRPr="00031518">
        <w:rPr>
          <w:b/>
        </w:rPr>
        <w:t xml:space="preserve">Art. </w:t>
      </w:r>
      <w:r>
        <w:rPr>
          <w:b/>
        </w:rPr>
        <w:t>9º</w:t>
      </w:r>
      <w:r w:rsidRPr="00031518">
        <w:t xml:space="preserve"> Esta Resolução entra em vigor na data de sua publicação.</w:t>
      </w:r>
    </w:p>
    <w:p w:rsidR="001F3181" w:rsidRPr="00031518" w:rsidRDefault="001F3181" w:rsidP="001F3181">
      <w:pPr>
        <w:shd w:val="clear" w:color="auto" w:fill="FFFFFF"/>
        <w:jc w:val="both"/>
      </w:pPr>
      <w:bookmarkStart w:id="0" w:name="_gjdgxs" w:colFirst="0" w:colLast="0"/>
      <w:bookmarkEnd w:id="0"/>
      <w:r w:rsidRPr="00031518">
        <w:t xml:space="preserve">Manaus, </w:t>
      </w:r>
      <w:r>
        <w:t>18</w:t>
      </w:r>
      <w:r w:rsidRPr="00031518">
        <w:t xml:space="preserve"> de </w:t>
      </w:r>
      <w:r>
        <w:t>junho</w:t>
      </w:r>
      <w:r w:rsidRPr="00031518">
        <w:t xml:space="preserve"> de 2019.</w:t>
      </w:r>
    </w:p>
    <w:p w:rsidR="001F3181" w:rsidRPr="00031518" w:rsidRDefault="001F3181" w:rsidP="001F3181">
      <w:pPr>
        <w:shd w:val="clear" w:color="auto" w:fill="FFFFFF"/>
        <w:jc w:val="center"/>
      </w:pPr>
    </w:p>
    <w:p w:rsidR="001F3181" w:rsidRPr="00031518" w:rsidRDefault="001F3181" w:rsidP="001F3181">
      <w:pPr>
        <w:shd w:val="clear" w:color="auto" w:fill="FFFFFF"/>
        <w:jc w:val="center"/>
      </w:pPr>
    </w:p>
    <w:p w:rsidR="001F3181" w:rsidRPr="00031518" w:rsidRDefault="001F3181" w:rsidP="001F3181">
      <w:pPr>
        <w:shd w:val="clear" w:color="auto" w:fill="FFFFFF"/>
        <w:jc w:val="center"/>
        <w:rPr>
          <w:b/>
        </w:rPr>
      </w:pPr>
      <w:r w:rsidRPr="00031518">
        <w:rPr>
          <w:b/>
        </w:rPr>
        <w:t>Rafael Vinheiro Monteiro Barbosa</w:t>
      </w:r>
    </w:p>
    <w:p w:rsidR="001F3181" w:rsidRPr="00031518" w:rsidRDefault="001F3181" w:rsidP="001F3181">
      <w:pPr>
        <w:shd w:val="clear" w:color="auto" w:fill="FFFFFF"/>
        <w:jc w:val="center"/>
      </w:pPr>
      <w:r w:rsidRPr="00031518">
        <w:t>Defensor Público-Geral</w:t>
      </w:r>
    </w:p>
    <w:p w:rsidR="001F3181" w:rsidRPr="00031518" w:rsidRDefault="001F3181" w:rsidP="001F3181">
      <w:pPr>
        <w:shd w:val="clear" w:color="auto" w:fill="FFFFFF"/>
        <w:jc w:val="center"/>
      </w:pPr>
      <w:r w:rsidRPr="00031518">
        <w:t>Presidente do Conselho Superior</w:t>
      </w:r>
    </w:p>
    <w:p w:rsidR="001F3181" w:rsidRPr="00417219" w:rsidRDefault="001F3181" w:rsidP="001F3181"/>
    <w:p w:rsidR="00771FE5" w:rsidRDefault="00771FE5">
      <w:pPr>
        <w:spacing w:before="200"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spacing w:before="20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Anexo I</w:t>
      </w:r>
    </w:p>
    <w:p w:rsidR="00771FE5" w:rsidRDefault="001F318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INDICADORES SETORIAIS</w:t>
      </w:r>
      <w:r>
        <w:rPr>
          <w:rFonts w:ascii="Arial" w:eastAsia="Arial" w:hAnsi="Arial" w:cs="Arial"/>
          <w:sz w:val="22"/>
          <w:szCs w:val="22"/>
        </w:rPr>
        <w:t xml:space="preserve">                  </w:t>
      </w:r>
    </w:p>
    <w:p w:rsidR="00771FE5" w:rsidRDefault="001F318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UNIDADES DE ATENDIMENTO</w:t>
      </w:r>
    </w:p>
    <w:p w:rsidR="00771FE5" w:rsidRDefault="00771FE5">
      <w:pPr>
        <w:jc w:val="center"/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Inicial Família: 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1: Atendimento novo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2: Atos Judiciais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3: Satisfação do assistido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4: % de Acordos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771FE5" w:rsidRDefault="001F318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sz w:val="22"/>
          <w:szCs w:val="22"/>
        </w:rPr>
        <w:t>Forense Família:</w:t>
      </w:r>
      <w:bookmarkStart w:id="1" w:name="_GoBack"/>
      <w:bookmarkEnd w:id="1"/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1: Atendimento novo/retorno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2: Atos Judiciais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3: Satisfação do assistido</w:t>
      </w:r>
    </w:p>
    <w:p w:rsidR="00771FE5" w:rsidRDefault="00771F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Criminal 1° Grau: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Indicador 1: Atendimento novo/retorno 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Indicador 2: Atos Judiciais 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3: Satisfação do assistido</w:t>
      </w:r>
    </w:p>
    <w:p w:rsidR="00771FE5" w:rsidRDefault="00771F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Criminal 2° Grau: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1: Atos judiciais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2: Satisfação do assistido</w:t>
      </w:r>
    </w:p>
    <w:p w:rsidR="00771FE5" w:rsidRDefault="00771FE5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771FE5" w:rsidRDefault="001F3181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Inicial Cível: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1: Atendimento novo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Indicador 2: Petição Inicial 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Indicador 3: % de Acordo 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z w:val="22"/>
          <w:szCs w:val="22"/>
        </w:rPr>
        <w:t>cador 4: Satisfação do assistido</w:t>
      </w:r>
    </w:p>
    <w:p w:rsidR="00771FE5" w:rsidRDefault="00771F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Forense Cível de 1° Grau: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1: Atendimento novo/retorno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2: Atos Judiciais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3: Satisfação do assistido</w:t>
      </w:r>
    </w:p>
    <w:p w:rsidR="00771FE5" w:rsidRDefault="00771F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Forense Cível de 2° Grau: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1: Atos Judiciais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2: Satisfação do assistido</w:t>
      </w:r>
    </w:p>
    <w:p w:rsidR="00771FE5" w:rsidRDefault="00771F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Especializadas e Unidades do Interior: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1: Atendimento novo/retorno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2: Atos Judiciais</w:t>
      </w:r>
    </w:p>
    <w:p w:rsidR="00771FE5" w:rsidRDefault="001F318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Indicador 3: Satisfação do assistido</w:t>
      </w:r>
    </w:p>
    <w:p w:rsidR="00771FE5" w:rsidRDefault="001F318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</w:t>
      </w:r>
    </w:p>
    <w:p w:rsidR="00771FE5" w:rsidRDefault="00771FE5">
      <w:pPr>
        <w:spacing w:before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Anexo II</w:t>
      </w:r>
    </w:p>
    <w:p w:rsidR="00771FE5" w:rsidRDefault="00771F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INDICADORES SETORIAIS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UNIDADES DE ATENDIMENTO             </w:t>
      </w: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Atos Judiciais: Inicial de Família</w:t>
      </w:r>
    </w:p>
    <w:p w:rsidR="00771FE5" w:rsidRDefault="001F3181">
      <w:pPr>
        <w:jc w:val="center"/>
        <w:rPr>
          <w:rFonts w:ascii="Arial" w:eastAsia="Arial" w:hAnsi="Arial" w:cs="Arial"/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PETIÇÃO INICIAL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CUMPRIMENTO DE SENTENÇA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AUDIÊNCIA EXTRAJUDICIAL</w:t>
      </w:r>
    </w:p>
    <w:p w:rsidR="00771FE5" w:rsidRDefault="001F3181">
      <w:pPr>
        <w:jc w:val="center"/>
        <w:rPr>
          <w:rFonts w:ascii="Arial" w:eastAsia="Arial" w:hAnsi="Arial" w:cs="Arial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Atos Judiciais: Forense Família</w:t>
      </w:r>
    </w:p>
    <w:tbl>
      <w:tblPr>
        <w:tblStyle w:val="a0"/>
        <w:tblW w:w="793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7938"/>
      </w:tblGrid>
      <w:tr w:rsidR="00771FE5">
        <w:trPr>
          <w:trHeight w:val="300"/>
        </w:trPr>
        <w:tc>
          <w:tcPr>
            <w:tcW w:w="793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ALEGAÇÕES FINAIS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CONTESTAÇÃO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 DE AGRAVO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 DE APELAÇÃO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 DE EMBARGO DE DEC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 INOMINADO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 ESPECIAL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 EXTRAORDINÁRIO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 ORDINÁRIO CONSTITUCIONAL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JUSTIFICATIVA EM EXECUÇÃO DE ALIMENTOS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PRIMEIRAS DECLARAÇÕES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EMBARGOS DE DECLARAÇÃO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EXCEÇÃO DE PRÉ-EXECUTIVIDADE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PETIÇÃO INTERMEDIÁRIA</w:t>
            </w:r>
          </w:p>
        </w:tc>
      </w:tr>
      <w:tr w:rsidR="00771FE5">
        <w:trPr>
          <w:trHeight w:val="300"/>
        </w:trPr>
        <w:tc>
          <w:tcPr>
            <w:tcW w:w="79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RECONVENÇÃO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DE AGRAVO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DE APELAÇÃO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INOMINADO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ORDINÁRIO CONSTITUCIONAL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RÉPLICA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IMPUGNAÇÕES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AUDIÊNCIA JUDICIAL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AUDIÊNCIA EXTRAJUDICIAL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SUSTENTAÇÃO ORAL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DECLARAÇÃO DE ITCMD</w:t>
            </w:r>
          </w:p>
        </w:tc>
      </w:tr>
      <w:tr w:rsidR="00771FE5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771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Atos Judiciais: Forense Cível de 1° Grau</w:t>
      </w: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0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080"/>
      </w:tblGrid>
      <w:tr w:rsidR="00771FE5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ALEGAÇÕES FINAIS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CONTESTAÇÃO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DE AGRAVO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DE APELAÇÃO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 DE EMBARGOS DE DEC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INOMINADO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ESPECIAL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EXTRAORDINÁRIO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 ORDINÁRIO CONSTITUCIONAL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CUMPRIMENTO/ EXECUÇÃO DE SENTENÇA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EMBARGOS -TERCE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IRO/ MONITÓRIA/ EXECUÇÃO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EMBARGOS DE DECLARAÇÃO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EXCEÇÃO DE PRÉ-EXECUTIVIDADE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SUSPENSÃO DE LIMINAR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PETIÇÃO INTERMEDIÁRIA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RECONVENÇÃO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DE AGRAVO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RECURSO DE APELAÇÃO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ESPECIAL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EXTRAORDINÁRIO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INOMINADO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ORDINÁRIO CONSTITUCIONAL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RÉPLICA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IMPUGNAÇÕES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AUDIÊNCIA JUDICIAL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AUDIÊNCIA EXTRAJUDICIAL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SUSTENTAÇÃO ORAL</w:t>
            </w:r>
          </w:p>
          <w:p w:rsidR="00771FE5" w:rsidRDefault="00771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71FE5" w:rsidRDefault="00771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71FE5" w:rsidRDefault="001F31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771FE5" w:rsidRDefault="00771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71FE5" w:rsidRDefault="001F318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Atos Judiciais: Forense Cível de 2° Grau</w:t>
      </w: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130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8130"/>
      </w:tblGrid>
      <w:tr w:rsidR="00771FE5">
        <w:trPr>
          <w:trHeight w:val="300"/>
        </w:trPr>
        <w:tc>
          <w:tcPr>
            <w:tcW w:w="813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771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ATENDIMENTO NOVO/RETORNO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AUDIÊNCIA JUDICIAL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SUSTENTAÇÃO ORAL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RECURSO ESPECIAL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DE AGRAVO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RECURSO EXTRAORDINÁRIA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ORDINÁRIO CONSTITUCIONAL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DE AGRAVO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 DE EMBARGOS DE DEC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ESPECIAL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EXTRAORDINÁRIO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CONTRARRAZÕES DE RECURSO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ORDINÁRIO CONSTITUCIONAL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CUMPRIMENTO/ EXECUÇÃO DE SENTENÇA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EMBARGOS -TERCEIRO/ MONITÓRIA/ EXECUÇÃO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EMBARGOS DE DECLARAÇÃO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SUSPENSÃO DE LIMINAR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PETIÇÃO INTERMEDIÁRIA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PETIÇÃO INICIAL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ORDINÁRIO CONSTITUCIONAL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IMPUGNAÇÕES </w:t>
            </w:r>
          </w:p>
          <w:p w:rsidR="00771FE5" w:rsidRDefault="00771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71FE5" w:rsidRDefault="00771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71FE5" w:rsidRDefault="001F31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771FE5" w:rsidRDefault="00771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71FE5" w:rsidRDefault="001F318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Atos Judiciais: Forense Criminal de 1° Grau</w:t>
      </w: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0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080"/>
      </w:tblGrid>
      <w:tr w:rsidR="00771FE5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FE5" w:rsidRDefault="00771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71FE5" w:rsidRDefault="00771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ALEGAÇÕES FINAIS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DE AGRAVO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DE APELAÇÃO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DE EMBARGOS DE DEC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INOMINADO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ESPECIAL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ONTRARRAZÕES DE RECURSO ORDINÁRIO CONSTITUCIONAL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CONTRARRAZÕES DE RECURSO EXTRAORDINÁRIO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DEFESA PRÉVIA/RESPOSTA ESCRITA À ACUSAÇÃO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EMBARGOS DE DECLARAÇÃO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HABEAS CORPUS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INCIDENTE DE SANIDADE MENTAL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APLICAÇÃO DE LEI MAIS BENÉFICA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PEDIDO DE A</w:t>
            </w:r>
            <w:r>
              <w:rPr>
                <w:rFonts w:ascii="Arial" w:eastAsia="Arial" w:hAnsi="Arial" w:cs="Arial"/>
                <w:sz w:val="22"/>
                <w:szCs w:val="22"/>
              </w:rPr>
              <w:t>PURAÇÃO DE IRREGULARIDADES NA PRISÃO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AUDIÊNCIA DE JUSTIFICAÇÃO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CÁLCULO DE PENA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PEDIDO DE COMUTAÇÃO DE PENA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PETIÇÃO INICIAL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EXTINÇÃO DE PUNIBILIDADE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INDULTO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LIBERDADE PROVISÓRIA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LIVRAMENTO CONDICIONAL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MEDIDA PROTETIVA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MONITORAMENTO ELETRÔNICO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PRISÃO DOMICILIAR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PRISÃO PREVENTIVA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PROGRESSÃO DE REGIME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RECONHECIMENTO DE PRESCRIÇÃO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RELAXAMENTO DE PRISÃO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REMIÇÃO/ REMISSÃO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RESTITUIÇÃO DE COISA APREENDIDA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REVOGAÇÃO DE PRISÃO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SUBSTITUIÇÃO DE PENA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PEDIDO DE UNIFICAÇÃO DE PENA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PETIÇÃO INTERMEDIÁRIA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QUEIXA CRIME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RAZÕES DE APELAÇÃO CR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IMINAL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RAZÕES DE RECURSO EM SENTIDO ESTRITO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DE AGRAVO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DE APELAÇÃO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AUDIÊNCIA DE CUSTÓDIA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EM SENTIDO ESTRITO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ESPECIAL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EXTRAORDINÁRIO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RECURSO ORDINÁRIO CONSTITUCIONAL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SESSÃO PLENÁRIA DO TRIBUNAL DO JÚRI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AUDIÊNCIA JUDICIAL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AUDIÊNCIA EXTRAJUDICIAL </w:t>
            </w:r>
          </w:p>
          <w:p w:rsidR="00771FE5" w:rsidRDefault="001F31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SUSTENTAÇÃO ORAL </w:t>
            </w:r>
          </w:p>
        </w:tc>
      </w:tr>
    </w:tbl>
    <w:p w:rsidR="00771FE5" w:rsidRDefault="00771FE5">
      <w:pPr>
        <w:rPr>
          <w:rFonts w:ascii="Arial" w:eastAsia="Arial" w:hAnsi="Arial" w:cs="Arial"/>
          <w:b/>
          <w:sz w:val="22"/>
          <w:szCs w:val="22"/>
        </w:rPr>
      </w:pPr>
    </w:p>
    <w:p w:rsidR="00771FE5" w:rsidRDefault="001F318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Atos Judiciais: Forense Criminal de 2° Grau</w:t>
      </w: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ATENDIMENTO NOVO/RETORNO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AUDIÊNCIA JUDICIAL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SUSTENTAÇÃO ORAL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CONTRARRAZÕES DE RECURSO DE AGRAVO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CONTRARRAZÕES DE RECURSO DE APELAÇÃO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CONTRARRAZ</w:t>
      </w:r>
      <w:r>
        <w:rPr>
          <w:rFonts w:ascii="Arial" w:eastAsia="Arial" w:hAnsi="Arial" w:cs="Arial"/>
          <w:sz w:val="22"/>
          <w:szCs w:val="22"/>
        </w:rPr>
        <w:t xml:space="preserve">ÕES DE RECURSO DE EMBARGOS DE DEC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CONTRARRAZÕES DE RECURSO INOMINADO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CONTRARRAZÕES DE RECURSO ESPECIAL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CONTRARRAZÕES DE RECURSO ORDINÁRIO CONSTITUCIONAL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CONTRARRAZÕES DE RECURSO EXTRAORDINÁRIO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DEFESA PRÉVIA/RESPOSTA ESCRITA À ACUSAÇÃO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EMBARGOS DE DEC</w:t>
      </w:r>
      <w:r>
        <w:rPr>
          <w:rFonts w:ascii="Arial" w:eastAsia="Arial" w:hAnsi="Arial" w:cs="Arial"/>
          <w:sz w:val="22"/>
          <w:szCs w:val="22"/>
        </w:rPr>
        <w:t>LARAÇÃO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HABEAS CORPUS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PETIÇÃO INICIAL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PETIÇÃO INTERMEDIÁRIA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RAZÕES DE APELAÇÃO CRIMINAL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RAZÕES DE RECURSO EM SENTIDO ESTRITO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RECURSO DE AGRAVO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RECURSO DE APELAÇÃO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AUDIÊNCIA DE CUSTÓDIA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RECURSO EM SENTIDO ESTRITO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RECURSO ESPECIAL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RECURSO EXTRAORDINÁRIO 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RECURSO ORDINÁRIO CONSTITUCIONAL </w:t>
      </w: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jc w:val="center"/>
        <w:rPr>
          <w:rFonts w:ascii="Arial" w:eastAsia="Arial" w:hAnsi="Arial" w:cs="Arial"/>
          <w:sz w:val="22"/>
          <w:szCs w:val="22"/>
        </w:rPr>
      </w:pPr>
      <w:r>
        <w:pict>
          <v:rect id="_x0000_i1029" style="width:0;height:1.5pt" o:hralign="center" o:hrstd="t" o:hr="t" fillcolor="#a0a0a0" stroked="f"/>
        </w:pict>
      </w:r>
    </w:p>
    <w:p w:rsidR="00771FE5" w:rsidRDefault="00771FE5">
      <w:pPr>
        <w:rPr>
          <w:rFonts w:ascii="Arial" w:eastAsia="Arial" w:hAnsi="Arial" w:cs="Arial"/>
          <w:b/>
          <w:sz w:val="22"/>
          <w:szCs w:val="22"/>
        </w:rPr>
      </w:pPr>
    </w:p>
    <w:p w:rsidR="00771FE5" w:rsidRDefault="001F318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Atos Judiciais: Execução de Honorários</w:t>
      </w:r>
    </w:p>
    <w:p w:rsidR="00771FE5" w:rsidRDefault="00771FE5">
      <w:pPr>
        <w:rPr>
          <w:rFonts w:ascii="Arial" w:eastAsia="Arial" w:hAnsi="Arial" w:cs="Arial"/>
          <w:b/>
          <w:sz w:val="22"/>
          <w:szCs w:val="22"/>
        </w:rPr>
      </w:pPr>
    </w:p>
    <w:p w:rsidR="00771FE5" w:rsidRDefault="001F3181">
      <w:pPr>
        <w:jc w:val="center"/>
        <w:rPr>
          <w:rFonts w:ascii="Arial" w:eastAsia="Arial" w:hAnsi="Arial" w:cs="Arial"/>
          <w:sz w:val="22"/>
          <w:szCs w:val="22"/>
        </w:rPr>
      </w:pPr>
      <w:r>
        <w:pict>
          <v:rect id="_x0000_i1030" style="width:0;height:1.5pt" o:hralign="center" o:hrstd="t" o:hr="t" fillcolor="#a0a0a0" stroked="f"/>
        </w:pict>
      </w: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CONTRARRAZÕES DE RECURSO DE AGRAVO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CONTRARRAZÕES DE RECURSO DE APELAÇÃO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CONTRARRAZÕES DE RECURSO DE EMBARGO DE DEC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CONTRARRAZÕES DE RECURSO ESPECIAL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NTRARRAZÕES DE RECURSO EXTRAORDINÁRIO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CONTRARRAZÕES DE RECURSO ORDINÁRIO CONSTITUCIONAL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CUMPRIMENTO/ EXECUÇÃO DE SENTENÇA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EMBARGOS DE DECLARAÇÃO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PETIÇÃO INTERMEDIÁRIA SIMPLES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RECURSO DE AGRAVO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RECURSO DE APELAÇÃO</w:t>
      </w:r>
    </w:p>
    <w:p w:rsidR="00771FE5" w:rsidRDefault="001F318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RECURSO ORDINÁRIO CONSTITUCIONAL</w:t>
      </w: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Anexo III</w:t>
      </w: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3260"/>
        <w:gridCol w:w="1701"/>
        <w:gridCol w:w="1134"/>
        <w:gridCol w:w="993"/>
        <w:gridCol w:w="850"/>
      </w:tblGrid>
      <w:tr w:rsidR="00771FE5">
        <w:trPr>
          <w:trHeight w:val="9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ÁREA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PERIDIOCIDADE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SENTIDO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Unidade Medida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META 2T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CERIMONIAL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SATISFAÇÃO COM CERIMONIAL (AVALIADO POR MEMBROS QUE PARTICIPAM DE EVENTOS)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DISK DEFENSORIA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ATENDIMENTOS REALIZADO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CHEFIA DE GABINETE DPG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MÉDIO DE ANÁLISE DE PROCESSOS (DESPACHOS CORRENTES)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CHEFIA DE GABINETE SUB DPG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MÉDIO DE ANÁLISE DE PROCESSOS (DESPACHOS CORRENTES)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CONTROLE INTERNO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MÉDIO DE ANÁLISE DE PROCESSOS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CORREGEDORIA GERAL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MÍNIMO DE ATOS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CORREGEDORIA GERAL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DE RESPOSTA DE RECLAMAÇÕES (AVERIGUAÇÃO PRELIMINAR)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DIRETORIA ADMINISTRATIVA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CUMPRIMENTO DE ANÁLISE DE PROCESSOS (DESPACHOS CORRENTES) NO PRAZO DE 2 DIAS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COMPRAS E CONTRATOS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CUMPRIMENTO DE INSTRUÇÃO PROCESSUAL DE ALTERAÇÃO CONTRATUAL NO PRAZO (18 DIAS UTÉIS)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COMPRAS E CONTRATOS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CUMPRIMENTO DE INSTRUÇÃO PROCESSUAL DE CONTRATAÇÃO DE SERVIÇOS E AQUISIÇÃO DE BENS NO PRAZO (8 DIAS ÚTEIS)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GESTÃO DE PESSOAS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DE TRAMITAÇÃO DE PROCESSOS (DIÁRIAS / PASSAGEM / FOLHA FÉRIAS E LICENÇA)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LOGÍSTICA – TRANSPORTE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SATISFAÇÃO COM O SERVIÇOS DE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LOGÍSTICA – ALMOXARIFADO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PRAZO DE ATENDIMENTO A DEMANDA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GERÊNCIA DE SERVIÇOS - MANUTENÇÃO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DE RESPOSTA DE SOLICITAÇÃO DE SERVIÇOS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DIRETORIA DE APOIO JURÍDICO E ASSUNTOS INSTITUCIONAIS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MÉDIO DE ANÁLISE DE PROCESSOS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DEFENSORIA ITINERANTE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MÍNIMO DE PROTOCOLOS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ORÇAMENTO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PRAZO MÉDIO DE EMPENHAMENTO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DIRETORIA DE COMUNICAÇÃO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DE CHAMADAS/INSERÇÕES POSITIVAS (PORTAIS, BLOGS, JORNAIS IMPRESSOS, TELEVISÃO E RÁDIO)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DIRETORIA DE COMUNICAÇÃO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PROMOÇÃO DE CAMPANHAS INTERNAS E EXTERNAS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DA INFORMAÇÃO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CUMPRIMENTO DE SOLICITAÇÕES DENTRO DO PRAZO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DA INFORMAÇÃO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SATISFAÇÃO DO ATENDIMENTO (TI)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DIVISÃO DE INOVAÇÃO E TECNOLOGIA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MÉDIO DE  DESENVOLVIMENTO DE SOLUÇÕES DE TECNOLOGIA E INOVAÇÕES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DIRETORIA DE PLANEJAMENTO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CUMPRIMENTO DO CALENDÁRIO DA AUDITORIA DE PROCESSOS DE ATENDIMENTO E AUDITORIA DOS RESULTADOS DA MERITOCRACIA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ESCOLA SUPERIOR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MÍNIMO DE CURSOS E FORMAÇÃO DE SERVIDORES E DEFENSORES (OFERECIDOS PELA PRÓPRIA ESCOLA)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ESCOLA SUPERIOR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DE RESPOSTA ÀS DEMANDAS DOS DEFENSORES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dias úteis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CONSELHO SUPERIOR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AVALIAÇÃO INDIVIDUAL DOS INTEGRANTES DO CONSELHO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EXECUÇÃO HONORÁRIOS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ATOS JUDICIAIS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GERÊNCIA DE SERVIÇOS - OUTROS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SATISFAÇÃO COM O SERVIÇOS DE COPA E VIGILÂNCIA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</w:t>
            </w:r>
          </w:p>
        </w:tc>
      </w:tr>
    </w:tbl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1F318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Anexo IV</w:t>
      </w:r>
    </w:p>
    <w:p w:rsidR="00771FE5" w:rsidRDefault="00771FE5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5"/>
        <w:tblW w:w="957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560"/>
        <w:gridCol w:w="1134"/>
        <w:gridCol w:w="2126"/>
        <w:gridCol w:w="1276"/>
        <w:gridCol w:w="820"/>
        <w:gridCol w:w="820"/>
        <w:gridCol w:w="820"/>
        <w:gridCol w:w="1020"/>
      </w:tblGrid>
      <w:tr w:rsidR="00771FE5">
        <w:trPr>
          <w:trHeight w:val="9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bookmarkStart w:id="2" w:name="30j0zll" w:colFirst="0" w:colLast="0"/>
            <w:bookmarkStart w:id="3" w:name="_1fob9te" w:colFirst="0" w:colLast="0"/>
            <w:bookmarkEnd w:id="2"/>
            <w:bookmarkEnd w:id="3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ÁREA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SUBÁREA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ÓRGÃO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abr/19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mai/19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jun/19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TOTAL T2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Petição Inicial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Petição Inicial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Petição Inicial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Petição Inicial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DPA CÍV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Petição Inicial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2º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a 6ª DPF 2º GRAU, 1ª DPF CORTES SUPERIORES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18ª DPF CÍV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CRIMINAL/ 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CRIMINAL/ CÍVEL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DPF 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26ª DPF CRIM 1º GRAU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2º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E 9ª DPF 2º GRAU, 2ª DPF CORTES SUPERIORES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 ESPECIALIZADA DE CUSTÓDIA E FLAGRANTES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 ESPECIALIZADA DE CUSTÓDIA E FLAGRANTES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 ATEND. UNIDADES PRISIONAIS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 ATEND. UNIDADES PRISIONAIS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DPE ATEND. UNIDADES PRISIONAIS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DPE ATEND. UNIDADES PRISIONAIS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DPF DO TRIBUNAL DO JÚRI SUMARIANTE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DPF DO TRIBUNAL DO JÚRI SUMARIANTE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DPF DO TRIBUNAL DO JÚRI SUMARIANTE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DPF DO TRIBUNAL DO JÚRI SUMARIANTE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DPF DO TRIBUNAL DO JÚRI SUMARIANTE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DPF DO TRIBUNAL DO JÚRI SUMARIANTE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DPF DO TRIBUNAL DO JÚRI PLENÁRIO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DPF DO TRIBUNAL DO JÚRI PLENÁRIO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DPF DO TRIBUNAL DO JÚRI PLENÁRIO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DPF DO TRIBUNAL DO JÚRI PLENÁRIO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DPF DO TRIBUNAL DO JÚRI PLENÁRIO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DPF DO TRIBUNAL DO JÚRI PLENÁRIO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 MEDIDAS E PENAS ALTERN.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 MEDIDAS E PENAS ALTERN.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 EXECUÇÃO PENAL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 EXECUÇÃO PENAL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DPE EXECUÇÃO PENAL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DPE EXECUÇÃO PENAL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DPE EXECUÇÃO PENAL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DPE EXECUÇÃO PENAL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DPE EXECUÇÃO PENAL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 1º Grau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DPE EXECUÇÃO PENAL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 MEIO AMBIENTE E QUESTÕES AGRÁRIAS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 MEIO AMBIENTE E QUESTÕES AGRÁRIAS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 SOCIOEDUC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 EXEC. DE MEDIDAS SOCIOEDUCATIVAS DA I. E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 SOCIOEDUC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 EXEC. DE MEDIDAS SOCIOEDUCATIVAS DA I. E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 PROM E DEF DOS DIREITOS RELAC À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SAÚDE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 PROM E DEF DOS DIREITOS RELAC À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DPEA MULHER VÍT VIOL 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DPEA MULHER VÍT VIOL 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DPEA MULHER VÍT VIOL 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DPEA MULHER VÍT VIOL 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PÓLO DE ATENDIMENTO - HUMAITÁ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PÓLO DE ATENDIMENTO - HUMAITÁ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PÓLO DE ATENDIMENTO - ITACOATIARA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PÓLO DE ATENDIMENTO - ITACOATIARA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PÓLO DE ATENDIMENTO - PARINTINS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PÓLO DE ATENDIMENTO - PARINTINS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INFÂNCIA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 INFÂNCIA E JUVENTUDE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INFÂNCIA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 INFÂNCIA E JUVENTUDE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INFÂNCIA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DPE INFÂNCIA E JUVENTUDE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INFÂNCIA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DPE INFÂNCIA E JUVENTUDE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INFÂNCIA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DPE INFÂNCIA E JUVENTUDE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INFÂNCIA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DPE INFÂNCIA E JUVENTUDE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DPEA IDOSO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DPEA IDOSO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DPEA FUNDIÁRIO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DPEA FUNDIÁRIO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DPEA FUNDIÁRIO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DPEA FUNDIÁRIO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DIREITOS HUMANOS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 PROM. DEF. DIR. HUM.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DIREITOS HUMANOS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DPE PROM. DEF. DIR. HUM.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CONSUMIDOR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DPEA CONSUMIDOR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CONSUMIDOR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DPEA CONSUMIDOR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CONSUMIDOR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DPEA CONSUMIDOR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CONSUMIDOR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DPEA CONSUMIDOR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COLETIVOS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DPEA INTER. COLETIVOS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COLETIVOS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DPEA INTER. COLETIVOS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E 2ª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E 2ª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2640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E 2ª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E 4ª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E 4ª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E 4ª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1080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E 8ª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E 8ª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E 8ª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de Acordos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DPA FAM SUC REG PUB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1783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1914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701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213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986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2070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466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194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791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1387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1183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244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213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303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253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870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927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Atendimento novo/retorno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595</w:t>
            </w:r>
          </w:p>
        </w:tc>
      </w:tr>
      <w:tr w:rsidR="00771FE5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FAMÍLIA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14ª DPF FAMÍLIA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Atos Judiciais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FE5" w:rsidRDefault="001F3181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586</w:t>
            </w:r>
          </w:p>
        </w:tc>
      </w:tr>
    </w:tbl>
    <w:p w:rsidR="00771FE5" w:rsidRDefault="00771FE5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jc w:val="center"/>
        <w:rPr>
          <w:rFonts w:ascii="Arial" w:eastAsia="Arial" w:hAnsi="Arial" w:cs="Arial"/>
          <w:sz w:val="22"/>
          <w:szCs w:val="22"/>
        </w:rPr>
      </w:pPr>
    </w:p>
    <w:p w:rsidR="00771FE5" w:rsidRDefault="00771FE5">
      <w:pPr>
        <w:jc w:val="center"/>
        <w:rPr>
          <w:sz w:val="22"/>
          <w:szCs w:val="22"/>
        </w:rPr>
      </w:pPr>
    </w:p>
    <w:sectPr w:rsidR="00771FE5">
      <w:headerReference w:type="default" r:id="rId6"/>
      <w:footerReference w:type="default" r:id="rId7"/>
      <w:pgSz w:w="11906" w:h="16838"/>
      <w:pgMar w:top="1474" w:right="1133" w:bottom="1985" w:left="1217" w:header="1134" w:footer="3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3181">
      <w:r>
        <w:separator/>
      </w:r>
    </w:p>
  </w:endnote>
  <w:endnote w:type="continuationSeparator" w:id="0">
    <w:p w:rsidR="00000000" w:rsidRDefault="001F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E5" w:rsidRDefault="001F318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0" distR="0">
          <wp:extent cx="6068060" cy="92138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806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3181">
      <w:r>
        <w:separator/>
      </w:r>
    </w:p>
  </w:footnote>
  <w:footnote w:type="continuationSeparator" w:id="0">
    <w:p w:rsidR="00000000" w:rsidRDefault="001F3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E5" w:rsidRDefault="00771FE5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6"/>
      <w:tblW w:w="9630" w:type="dxa"/>
      <w:tblInd w:w="9" w:type="dxa"/>
      <w:tblLayout w:type="fixed"/>
      <w:tblLook w:val="0000" w:firstRow="0" w:lastRow="0" w:firstColumn="0" w:lastColumn="0" w:noHBand="0" w:noVBand="0"/>
    </w:tblPr>
    <w:tblGrid>
      <w:gridCol w:w="2342"/>
      <w:gridCol w:w="4875"/>
      <w:gridCol w:w="2413"/>
    </w:tblGrid>
    <w:tr w:rsidR="00771FE5">
      <w:trPr>
        <w:trHeight w:val="1260"/>
      </w:trPr>
      <w:tc>
        <w:tcPr>
          <w:tcW w:w="2342" w:type="dxa"/>
          <w:tcMar>
            <w:top w:w="0" w:type="dxa"/>
            <w:left w:w="0" w:type="dxa"/>
            <w:bottom w:w="0" w:type="dxa"/>
            <w:right w:w="0" w:type="dxa"/>
          </w:tcMar>
        </w:tcPr>
        <w:p w:rsidR="00771FE5" w:rsidRDefault="001F318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00236" cy="100556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236" cy="1005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-2108199</wp:posOffset>
                    </wp:positionH>
                    <wp:positionV relativeFrom="paragraph">
                      <wp:posOffset>-901699</wp:posOffset>
                    </wp:positionV>
                    <wp:extent cx="4689885" cy="1132005"/>
                    <wp:effectExtent l="0" t="0" r="0" b="0"/>
                    <wp:wrapNone/>
                    <wp:docPr id="1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005820" y="3218760"/>
                              <a:ext cx="4680360" cy="1122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71FE5" w:rsidRDefault="00771FE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style="position:absolute;margin-left:-166pt;margin-top:-71pt;width:369.3pt;height:8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" adj="-11796480,,5400" path="m,l21600,r,21600l,21600,,xe" stroked="f">
                    <v:fill opacity="0"/>
                    <v:stroke joinstyle="miter"/>
                    <v:formulas/>
                    <v:path arrowok="t" o:extrusionok="f" o:connecttype="custom" textboxrect="0,0,21600,21600"/>
                    <v:textbox inset="0,0,0,0">
                      <w:txbxContent>
                        <w:p w:rsidR="00771FE5" w:rsidRDefault="00771FE5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288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771FE5" w:rsidRDefault="00771FE5">
          <w:pPr>
            <w:pBdr>
              <w:top w:val="nil"/>
              <w:left w:val="nil"/>
              <w:bottom w:val="nil"/>
              <w:right w:val="nil"/>
              <w:between w:val="nil"/>
            </w:pBdr>
            <w:ind w:left="195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:rsidR="00771FE5" w:rsidRDefault="00771FE5">
          <w:pPr>
            <w:pBdr>
              <w:top w:val="nil"/>
              <w:left w:val="nil"/>
              <w:bottom w:val="nil"/>
              <w:right w:val="nil"/>
              <w:between w:val="nil"/>
            </w:pBdr>
            <w:ind w:left="195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:rsidR="00771FE5" w:rsidRDefault="001F3181">
          <w:pPr>
            <w:pBdr>
              <w:top w:val="nil"/>
              <w:left w:val="nil"/>
              <w:bottom w:val="nil"/>
              <w:right w:val="nil"/>
              <w:between w:val="nil"/>
            </w:pBdr>
            <w:ind w:left="195"/>
            <w:jc w:val="center"/>
            <w:rPr>
              <w:rFonts w:ascii="Arial" w:eastAsia="Arial" w:hAnsi="Arial" w:cs="Arial"/>
              <w:b/>
              <w:color w:val="000000"/>
              <w:sz w:val="56"/>
              <w:szCs w:val="56"/>
            </w:rPr>
          </w:pPr>
          <w:r>
            <w:rPr>
              <w:rFonts w:ascii="Arial" w:eastAsia="Arial" w:hAnsi="Arial" w:cs="Arial"/>
              <w:b/>
              <w:color w:val="000000"/>
              <w:sz w:val="56"/>
              <w:szCs w:val="56"/>
            </w:rPr>
            <w:t>Diário Oficial Eletrônico</w:t>
          </w:r>
        </w:p>
        <w:p w:rsidR="00771FE5" w:rsidRDefault="001F318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da Defensoria Pública do Estado do Amazonas</w:t>
          </w:r>
        </w:p>
      </w:tc>
    </w:tr>
    <w:tr w:rsidR="00771FE5">
      <w:trPr>
        <w:trHeight w:val="360"/>
      </w:trPr>
      <w:tc>
        <w:tcPr>
          <w:tcW w:w="72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71FE5" w:rsidRDefault="001F318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smallCap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18"/>
              <w:szCs w:val="18"/>
            </w:rPr>
            <w:t>quinta-feira, 18 de abril de 2019</w:t>
          </w:r>
        </w:p>
      </w:tc>
      <w:tc>
        <w:tcPr>
          <w:tcW w:w="241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71FE5" w:rsidRDefault="001F318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Ano 5, Edição 977 Pág.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/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35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</w:tr>
  </w:tbl>
  <w:p w:rsidR="00771FE5" w:rsidRDefault="00771FE5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18"/>
        <w:szCs w:val="18"/>
      </w:rPr>
    </w:pPr>
  </w:p>
  <w:tbl>
    <w:tblPr>
      <w:tblStyle w:val="a7"/>
      <w:tblW w:w="9649" w:type="dxa"/>
      <w:tblInd w:w="-13" w:type="dxa"/>
      <w:tblLayout w:type="fixed"/>
      <w:tblLook w:val="0000" w:firstRow="0" w:lastRow="0" w:firstColumn="0" w:lastColumn="0" w:noHBand="0" w:noVBand="0"/>
    </w:tblPr>
    <w:tblGrid>
      <w:gridCol w:w="9649"/>
    </w:tblGrid>
    <w:tr w:rsidR="00771FE5">
      <w:tc>
        <w:tcPr>
          <w:tcW w:w="96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339966"/>
          <w:tcMar>
            <w:top w:w="0" w:type="dxa"/>
            <w:left w:w="0" w:type="dxa"/>
            <w:bottom w:w="0" w:type="dxa"/>
            <w:right w:w="0" w:type="dxa"/>
          </w:tcMar>
        </w:tcPr>
        <w:p w:rsidR="00771FE5" w:rsidRDefault="00771F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2"/>
              <w:szCs w:val="12"/>
            </w:rPr>
          </w:pPr>
        </w:p>
      </w:tc>
    </w:tr>
  </w:tbl>
  <w:p w:rsidR="00771FE5" w:rsidRDefault="00771F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E5"/>
    <w:rsid w:val="001F3181"/>
    <w:rsid w:val="007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F04AD0D-1133-4EA6-8DED-733143D7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smallCaps/>
      <w:color w:val="000000"/>
      <w:sz w:val="16"/>
      <w:szCs w:val="16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Ttulo5">
    <w:name w:val="heading 5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4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4987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Érika Serrão Folhadela</dc:creator>
  <cp:lastModifiedBy>Érika Serrão Folhadela</cp:lastModifiedBy>
  <cp:revision>2</cp:revision>
  <dcterms:created xsi:type="dcterms:W3CDTF">2019-07-25T15:41:00Z</dcterms:created>
  <dcterms:modified xsi:type="dcterms:W3CDTF">2019-07-25T15:41:00Z</dcterms:modified>
</cp:coreProperties>
</file>