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12" w:rsidRPr="005B7132" w:rsidRDefault="00650712" w:rsidP="00CE59EC">
      <w:pPr>
        <w:spacing w:after="120" w:line="360" w:lineRule="auto"/>
        <w:ind w:right="-43"/>
        <w:jc w:val="center"/>
        <w:rPr>
          <w:rFonts w:eastAsia="Times New Roman"/>
          <w:b/>
          <w:sz w:val="21"/>
          <w:szCs w:val="21"/>
        </w:rPr>
      </w:pPr>
      <w:bookmarkStart w:id="0" w:name="_GoBack"/>
      <w:bookmarkEnd w:id="0"/>
      <w:r w:rsidRPr="005B7132">
        <w:rPr>
          <w:rFonts w:eastAsia="Times New Roman"/>
          <w:b/>
          <w:sz w:val="21"/>
          <w:szCs w:val="21"/>
        </w:rPr>
        <w:t xml:space="preserve">RESOLUÇÃO </w:t>
      </w:r>
      <w:r w:rsidR="0059798C" w:rsidRPr="005B7132">
        <w:rPr>
          <w:rFonts w:eastAsia="Times New Roman"/>
          <w:b/>
          <w:sz w:val="21"/>
          <w:szCs w:val="21"/>
        </w:rPr>
        <w:t>3</w:t>
      </w:r>
      <w:r w:rsidR="00702CE2">
        <w:rPr>
          <w:rFonts w:eastAsia="Times New Roman"/>
          <w:b/>
          <w:sz w:val="21"/>
          <w:szCs w:val="21"/>
        </w:rPr>
        <w:t>2</w:t>
      </w:r>
      <w:r w:rsidRPr="005B7132">
        <w:rPr>
          <w:rFonts w:eastAsia="Times New Roman"/>
          <w:b/>
          <w:sz w:val="21"/>
          <w:szCs w:val="21"/>
        </w:rPr>
        <w:t>/2019-CSDPE/AM</w:t>
      </w:r>
    </w:p>
    <w:p w:rsidR="005B7132" w:rsidRDefault="005B7132" w:rsidP="005B7132">
      <w:pPr>
        <w:spacing w:before="120" w:after="120" w:line="288" w:lineRule="auto"/>
        <w:ind w:left="4820" w:right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Estabelece as metas para o 4º trimestre   </w:t>
      </w:r>
    </w:p>
    <w:p w:rsidR="00CE59EC" w:rsidRPr="005B7132" w:rsidRDefault="00CE59EC" w:rsidP="00CE59EC">
      <w:pPr>
        <w:tabs>
          <w:tab w:val="left" w:pos="0"/>
          <w:tab w:val="left" w:pos="7513"/>
          <w:tab w:val="left" w:pos="8789"/>
        </w:tabs>
        <w:spacing w:after="120" w:line="360" w:lineRule="auto"/>
        <w:ind w:right="-43"/>
        <w:contextualSpacing/>
        <w:jc w:val="both"/>
        <w:rPr>
          <w:b/>
          <w:sz w:val="21"/>
          <w:szCs w:val="21"/>
        </w:rPr>
      </w:pPr>
    </w:p>
    <w:p w:rsidR="0059798C" w:rsidRPr="005B7132" w:rsidRDefault="0059798C" w:rsidP="00CE59EC">
      <w:pPr>
        <w:tabs>
          <w:tab w:val="left" w:pos="0"/>
          <w:tab w:val="left" w:pos="7513"/>
          <w:tab w:val="left" w:pos="8789"/>
        </w:tabs>
        <w:spacing w:after="120" w:line="360" w:lineRule="auto"/>
        <w:ind w:right="-43"/>
        <w:contextualSpacing/>
        <w:jc w:val="both"/>
        <w:rPr>
          <w:sz w:val="21"/>
          <w:szCs w:val="21"/>
        </w:rPr>
      </w:pPr>
      <w:r w:rsidRPr="005B7132">
        <w:rPr>
          <w:b/>
          <w:sz w:val="21"/>
          <w:szCs w:val="21"/>
        </w:rPr>
        <w:t>O CONSELHO SUPERIOR DA DEFENSORIA PÚBLICA DO ESTADO DO AMAZONAS</w:t>
      </w:r>
      <w:r w:rsidRPr="005B7132">
        <w:rPr>
          <w:sz w:val="21"/>
          <w:szCs w:val="21"/>
        </w:rPr>
        <w:t>, no uso de suas atribuições legais previstas nos incisos I do artigo 18 da Lei Complementar Estadual nº 01, de 30 de março de 1990, §1°, do art. 102 da Lei Complementar n° 80/1994 e no art. 1</w:t>
      </w:r>
      <w:r w:rsidRPr="005B7132">
        <w:rPr>
          <w:b/>
          <w:sz w:val="21"/>
          <w:szCs w:val="21"/>
        </w:rPr>
        <w:t>º</w:t>
      </w:r>
      <w:r w:rsidRPr="005B7132">
        <w:rPr>
          <w:sz w:val="21"/>
          <w:szCs w:val="21"/>
        </w:rPr>
        <w:t xml:space="preserve"> do Regimento Interno do Conselho Superior da Defensoria Pública Estado do Amazonas (Resolução nº 004/2012-CSDPE/AM), por </w:t>
      </w:r>
      <w:r w:rsidR="00183438" w:rsidRPr="005B7132">
        <w:rPr>
          <w:sz w:val="21"/>
          <w:szCs w:val="21"/>
        </w:rPr>
        <w:t xml:space="preserve">maioria </w:t>
      </w:r>
      <w:r w:rsidRPr="005B7132">
        <w:rPr>
          <w:sz w:val="21"/>
          <w:szCs w:val="21"/>
        </w:rPr>
        <w:t xml:space="preserve">de seus membros presentes na Reunião </w:t>
      </w:r>
      <w:r w:rsidR="00CE59EC" w:rsidRPr="005B7132">
        <w:rPr>
          <w:sz w:val="21"/>
          <w:szCs w:val="21"/>
        </w:rPr>
        <w:t xml:space="preserve">Extraordinária de 3 de outubro </w:t>
      </w:r>
      <w:r w:rsidR="00183438" w:rsidRPr="005B7132">
        <w:rPr>
          <w:sz w:val="21"/>
          <w:szCs w:val="21"/>
        </w:rPr>
        <w:t>de 2019,</w:t>
      </w:r>
      <w:r w:rsidRPr="005B7132">
        <w:rPr>
          <w:sz w:val="21"/>
          <w:szCs w:val="21"/>
        </w:rPr>
        <w:t xml:space="preserve"> </w:t>
      </w:r>
    </w:p>
    <w:p w:rsidR="00CE59EC" w:rsidRPr="005B7132" w:rsidRDefault="00CE59EC" w:rsidP="00CE59EC">
      <w:pPr>
        <w:tabs>
          <w:tab w:val="left" w:pos="0"/>
          <w:tab w:val="left" w:pos="7513"/>
          <w:tab w:val="left" w:pos="8789"/>
        </w:tabs>
        <w:spacing w:after="120" w:line="360" w:lineRule="auto"/>
        <w:ind w:right="-43"/>
        <w:contextualSpacing/>
        <w:jc w:val="both"/>
        <w:rPr>
          <w:sz w:val="21"/>
          <w:szCs w:val="21"/>
        </w:rPr>
      </w:pPr>
    </w:p>
    <w:p w:rsidR="00CE59EC" w:rsidRPr="005B7132" w:rsidRDefault="00CE59EC" w:rsidP="00CE59EC">
      <w:pPr>
        <w:tabs>
          <w:tab w:val="left" w:pos="0"/>
          <w:tab w:val="left" w:pos="7513"/>
          <w:tab w:val="left" w:pos="8789"/>
        </w:tabs>
        <w:spacing w:after="120" w:line="360" w:lineRule="auto"/>
        <w:ind w:right="-43"/>
        <w:contextualSpacing/>
        <w:jc w:val="center"/>
        <w:rPr>
          <w:b/>
          <w:sz w:val="21"/>
          <w:szCs w:val="21"/>
        </w:rPr>
      </w:pPr>
      <w:r w:rsidRPr="005B7132">
        <w:rPr>
          <w:b/>
          <w:sz w:val="21"/>
          <w:szCs w:val="21"/>
        </w:rPr>
        <w:t>RESOLVE</w:t>
      </w:r>
    </w:p>
    <w:p w:rsidR="00CE59EC" w:rsidRPr="005B7132" w:rsidRDefault="00CE59EC" w:rsidP="00CE59EC">
      <w:pPr>
        <w:spacing w:after="120" w:line="360" w:lineRule="auto"/>
        <w:ind w:right="-43"/>
        <w:contextualSpacing/>
        <w:jc w:val="both"/>
        <w:rPr>
          <w:rFonts w:eastAsia="Times New Roman"/>
          <w:color w:val="000000"/>
          <w:sz w:val="21"/>
          <w:szCs w:val="21"/>
        </w:rPr>
      </w:pP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>Art. 1º Ficam estabelecidos os critérios de elegibilidade e as metas a serem aplicadas para o 4º trimestre de 2019, a contar do dia 1º de outubro de 2019, servindo estas de parâmetro para promoção, prêmio de produtividade e adicional de desempenho.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>Art. 2º Para que os Defensores Públicos e servidores sejam elegíveis ao recebimento da bonificação, é preciso que atendam aos critérios definidos nos artigos 2º e 3º da Resolução n. 001/2019.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>Parágrafo único. A reunião a que se refere o art. 2º, I da Resolução 001/2019, para os defensores públicos com atuação no interior do Estado, será aquela organizada e dirigida pelo coordenador do respectivo Polo.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>Art. 3º Os núcleos, unidades, órgãos de atuação, órgãos da administração e demais equipes de trabalho que compõem as unidades de avaliação farão jus à bonificação quando atingidas as metas e faixas correspondentes aos resultados, conforme tabelas constantes do artigo 4º da Resolução n. 001/2019.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>§1° Em relação aos Defensores Públicos e aos servidores em estágio probatório que ainda não se submeteram à avaliação de desempenho, o pagamento observará a tabela abaixo:</w:t>
      </w:r>
    </w:p>
    <w:p w:rsidR="00CE59EC" w:rsidRPr="005B7132" w:rsidRDefault="00CE59EC" w:rsidP="00CE59EC">
      <w:pPr>
        <w:spacing w:after="120" w:line="360" w:lineRule="auto"/>
        <w:rPr>
          <w:sz w:val="21"/>
          <w:szCs w:val="21"/>
        </w:rPr>
      </w:pPr>
    </w:p>
    <w:tbl>
      <w:tblPr>
        <w:tblW w:w="7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266"/>
        <w:gridCol w:w="1267"/>
        <w:gridCol w:w="1267"/>
        <w:gridCol w:w="1307"/>
      </w:tblGrid>
      <w:tr w:rsidR="00CE59EC" w:rsidRPr="005B7132" w:rsidTr="00CE59EC">
        <w:tc>
          <w:tcPr>
            <w:tcW w:w="1952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</w:p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METAS SETORIAIS</w:t>
            </w:r>
          </w:p>
        </w:tc>
        <w:tc>
          <w:tcPr>
            <w:tcW w:w="1266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FAIXA 1</w:t>
            </w:r>
          </w:p>
        </w:tc>
        <w:tc>
          <w:tcPr>
            <w:tcW w:w="1267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FAIXA 2</w:t>
            </w:r>
          </w:p>
        </w:tc>
        <w:tc>
          <w:tcPr>
            <w:tcW w:w="1267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FAIXA 3</w:t>
            </w:r>
          </w:p>
        </w:tc>
        <w:tc>
          <w:tcPr>
            <w:tcW w:w="1307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FAIXA 4</w:t>
            </w:r>
          </w:p>
        </w:tc>
      </w:tr>
      <w:tr w:rsidR="00CE59EC" w:rsidRPr="005B7132" w:rsidTr="00CE59EC">
        <w:tc>
          <w:tcPr>
            <w:tcW w:w="1952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 xml:space="preserve">ATINGIMENTO DA META </w:t>
            </w:r>
            <w:proofErr w:type="gramStart"/>
            <w:r w:rsidRPr="005B7132">
              <w:rPr>
                <w:sz w:val="21"/>
                <w:szCs w:val="21"/>
              </w:rPr>
              <w:t>( %</w:t>
            </w:r>
            <w:proofErr w:type="gramEnd"/>
            <w:r w:rsidRPr="005B7132">
              <w:rPr>
                <w:sz w:val="21"/>
                <w:szCs w:val="21"/>
              </w:rPr>
              <w:t xml:space="preserve"> )</w:t>
            </w:r>
          </w:p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</w:p>
        </w:tc>
        <w:tc>
          <w:tcPr>
            <w:tcW w:w="1266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lastRenderedPageBreak/>
              <w:t>90% - 94,99%</w:t>
            </w:r>
          </w:p>
        </w:tc>
        <w:tc>
          <w:tcPr>
            <w:tcW w:w="1267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95% A 99,99%</w:t>
            </w:r>
          </w:p>
        </w:tc>
        <w:tc>
          <w:tcPr>
            <w:tcW w:w="1267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100% A 104,99%</w:t>
            </w:r>
          </w:p>
        </w:tc>
        <w:tc>
          <w:tcPr>
            <w:tcW w:w="1307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Maior que 105%</w:t>
            </w:r>
          </w:p>
        </w:tc>
      </w:tr>
      <w:tr w:rsidR="00CE59EC" w:rsidRPr="005B7132" w:rsidTr="00CE59EC">
        <w:tc>
          <w:tcPr>
            <w:tcW w:w="1952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lastRenderedPageBreak/>
              <w:t>% DE REMUNERAÇÃO SOBRE O VENCIMENTO</w:t>
            </w:r>
          </w:p>
        </w:tc>
        <w:tc>
          <w:tcPr>
            <w:tcW w:w="1266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1%</w:t>
            </w:r>
          </w:p>
        </w:tc>
        <w:tc>
          <w:tcPr>
            <w:tcW w:w="1267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3%</w:t>
            </w:r>
          </w:p>
        </w:tc>
        <w:tc>
          <w:tcPr>
            <w:tcW w:w="1267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6%</w:t>
            </w:r>
          </w:p>
        </w:tc>
        <w:tc>
          <w:tcPr>
            <w:tcW w:w="1307" w:type="dxa"/>
          </w:tcPr>
          <w:p w:rsidR="00CE59EC" w:rsidRPr="005B7132" w:rsidRDefault="00CE59EC" w:rsidP="00CE59EC">
            <w:pPr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10%</w:t>
            </w:r>
          </w:p>
        </w:tc>
      </w:tr>
    </w:tbl>
    <w:p w:rsidR="00CE59EC" w:rsidRPr="005B7132" w:rsidRDefault="00CE59EC" w:rsidP="00CE59EC">
      <w:pPr>
        <w:spacing w:after="120" w:line="360" w:lineRule="auto"/>
        <w:rPr>
          <w:rFonts w:eastAsia="Calibri"/>
          <w:sz w:val="21"/>
          <w:szCs w:val="21"/>
        </w:rPr>
      </w:pP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>§2° Para a composição da avaliação individual de desempenho para os servidores em estágio probatório será considerada a nota da avaliação especial de desempenho do último trimestre, conforme tabela abaixo:</w:t>
      </w:r>
    </w:p>
    <w:p w:rsidR="00CE59EC" w:rsidRPr="005B7132" w:rsidRDefault="00CE59EC" w:rsidP="00CE59EC">
      <w:pPr>
        <w:spacing w:after="120" w:line="360" w:lineRule="auto"/>
        <w:ind w:left="851"/>
        <w:jc w:val="both"/>
        <w:rPr>
          <w:sz w:val="21"/>
          <w:szCs w:val="21"/>
          <w:highlight w:val="red"/>
        </w:rPr>
      </w:pPr>
    </w:p>
    <w:tbl>
      <w:tblPr>
        <w:tblW w:w="846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1590"/>
        <w:gridCol w:w="1770"/>
        <w:gridCol w:w="1875"/>
      </w:tblGrid>
      <w:tr w:rsidR="00CE59EC" w:rsidRPr="005B7132" w:rsidTr="00CE59EC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EC" w:rsidRPr="005B7132" w:rsidRDefault="00CE59EC" w:rsidP="00CE59EC">
            <w:pPr>
              <w:widowControl w:val="0"/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AVALIAÇÃO ESPECIAL DE DESEMPENHO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EC" w:rsidRPr="005B7132" w:rsidRDefault="00CE59EC" w:rsidP="00CE59EC">
            <w:pPr>
              <w:widowControl w:val="0"/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FAIXA 1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EC" w:rsidRPr="005B7132" w:rsidRDefault="00CE59EC" w:rsidP="00CE59EC">
            <w:pPr>
              <w:widowControl w:val="0"/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 xml:space="preserve">FAIXA 2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EC" w:rsidRPr="005B7132" w:rsidRDefault="00CE59EC" w:rsidP="00CE59EC">
            <w:pPr>
              <w:widowControl w:val="0"/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FAIXA 3</w:t>
            </w:r>
          </w:p>
        </w:tc>
      </w:tr>
      <w:tr w:rsidR="00CE59EC" w:rsidRPr="005B7132" w:rsidTr="00CE59EC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EC" w:rsidRPr="005B7132" w:rsidRDefault="00CE59EC" w:rsidP="00CE59EC">
            <w:pPr>
              <w:widowControl w:val="0"/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TOTAL DE PONTOS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EC" w:rsidRPr="005B7132" w:rsidRDefault="00CE59EC" w:rsidP="00CE59EC">
            <w:pPr>
              <w:widowControl w:val="0"/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30-37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EC" w:rsidRPr="005B7132" w:rsidRDefault="00CE59EC" w:rsidP="00CE59EC">
            <w:pPr>
              <w:widowControl w:val="0"/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38-44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EC" w:rsidRPr="005B7132" w:rsidRDefault="00CE59EC" w:rsidP="00CE59EC">
            <w:pPr>
              <w:widowControl w:val="0"/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45</w:t>
            </w:r>
          </w:p>
        </w:tc>
      </w:tr>
      <w:tr w:rsidR="00CE59EC" w:rsidRPr="005B7132" w:rsidTr="00CE59EC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EC" w:rsidRPr="005B7132" w:rsidRDefault="00CE59EC" w:rsidP="00CE59EC">
            <w:pPr>
              <w:widowControl w:val="0"/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 xml:space="preserve">% REMUNERAÇÃO SOBRE O VENCIMENTO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EC" w:rsidRPr="005B7132" w:rsidRDefault="00CE59EC" w:rsidP="00CE59EC">
            <w:pPr>
              <w:widowControl w:val="0"/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1%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EC" w:rsidRPr="005B7132" w:rsidRDefault="00CE59EC" w:rsidP="00CE59EC">
            <w:pPr>
              <w:widowControl w:val="0"/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2%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EC" w:rsidRPr="005B7132" w:rsidRDefault="00CE59EC" w:rsidP="00CE59EC">
            <w:pPr>
              <w:widowControl w:val="0"/>
              <w:spacing w:after="120" w:line="360" w:lineRule="auto"/>
              <w:rPr>
                <w:sz w:val="21"/>
                <w:szCs w:val="21"/>
              </w:rPr>
            </w:pPr>
            <w:r w:rsidRPr="005B7132">
              <w:rPr>
                <w:sz w:val="21"/>
                <w:szCs w:val="21"/>
              </w:rPr>
              <w:t>3%</w:t>
            </w:r>
          </w:p>
        </w:tc>
      </w:tr>
    </w:tbl>
    <w:p w:rsidR="00CE59EC" w:rsidRPr="005B7132" w:rsidRDefault="00CE59EC" w:rsidP="00CE59EC">
      <w:pPr>
        <w:spacing w:after="120" w:line="360" w:lineRule="auto"/>
        <w:rPr>
          <w:sz w:val="21"/>
          <w:szCs w:val="21"/>
        </w:rPr>
      </w:pP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>Art. 4º Aplicar-se-á ao 4º trimestre o disposto nos artigos 5º, 6º, 7º, 8º e 9º da Resolução n. 001/2019.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>Art. 5º Somente os atos registrados no sistema de relatórios até o 10º dia subsequente ao da prática serão considerados no cômputo de avaliação.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 xml:space="preserve">Parágrafo único. No último mês de cada trimestre, serão considerados apenas os atos lançados até o 5º dia útil do mês subsequente, respeitada a regra do </w:t>
      </w:r>
      <w:r w:rsidRPr="005B7132">
        <w:rPr>
          <w:rFonts w:eastAsia="Calibri"/>
          <w:i/>
          <w:sz w:val="21"/>
          <w:szCs w:val="21"/>
        </w:rPr>
        <w:t>caput</w:t>
      </w:r>
      <w:r w:rsidRPr="005B7132">
        <w:rPr>
          <w:rFonts w:eastAsia="Calibri"/>
          <w:sz w:val="21"/>
          <w:szCs w:val="21"/>
        </w:rPr>
        <w:t>.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>Art. 6º Os dias de eventual inoperância do serviço de internet oferecido pela Defensoria Pública ou indisponibilidade de acesso aos sistemas de consulta de autos/</w:t>
      </w:r>
      <w:proofErr w:type="spellStart"/>
      <w:r w:rsidRPr="005B7132">
        <w:rPr>
          <w:rFonts w:eastAsia="Calibri"/>
          <w:sz w:val="21"/>
          <w:szCs w:val="21"/>
        </w:rPr>
        <w:t>peticionamento</w:t>
      </w:r>
      <w:proofErr w:type="spellEnd"/>
      <w:r w:rsidRPr="005B7132">
        <w:rPr>
          <w:rFonts w:eastAsia="Calibri"/>
          <w:sz w:val="21"/>
          <w:szCs w:val="21"/>
        </w:rPr>
        <w:t xml:space="preserve"> não serão considerados como dias úteis.”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 xml:space="preserve">§1º Considera-se inoperância do serviço de internet as paralisações, em dias úteis, por mais de 60 minutos, ininterruptos ou não, se ocorrida entre 8h00 e 14h00, salvo as Defensorias com funcionamento após as 14h00min, quando se considerará o dia todo. 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lastRenderedPageBreak/>
        <w:t xml:space="preserve">§2º Toda indisponibilidade do serviço de internet oferecido pela Defensoria Pública do Estado do Amazonas será registrada em relatório de interrupções disponível no sítio da DPE/AM, devendo conter, pelo menos, as seguintes informações: 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 xml:space="preserve">I – data, hora e minuto de início da indisponibilidade; 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>II – data, hora e minuto de término da indisponibilidade.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>§3º Considera-se, ainda, indisponibilidade por motivo técnico a impossibilidade de acesso aos sistemas de consulta de autos/</w:t>
      </w:r>
      <w:proofErr w:type="spellStart"/>
      <w:r w:rsidRPr="005B7132">
        <w:rPr>
          <w:rFonts w:eastAsia="Calibri"/>
          <w:sz w:val="21"/>
          <w:szCs w:val="21"/>
        </w:rPr>
        <w:t>peticionamento</w:t>
      </w:r>
      <w:proofErr w:type="spellEnd"/>
      <w:r w:rsidRPr="005B7132">
        <w:rPr>
          <w:rFonts w:eastAsia="Calibri"/>
          <w:sz w:val="21"/>
          <w:szCs w:val="21"/>
        </w:rPr>
        <w:t xml:space="preserve"> mesmo que os serviços de internet estejam em pleno funcionamento, desde que emitida a respectiva declaração de indisponibilidade para SAJ/PROJUDI pela equipe do Tribunal de Justiça do Estado do Amazonas. 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>§4º Não será considerada inoperância do serviço de internet ou indisponibilidade de acesso aos sistemas de consulta de autos/</w:t>
      </w:r>
      <w:proofErr w:type="spellStart"/>
      <w:r w:rsidRPr="005B7132">
        <w:rPr>
          <w:rFonts w:eastAsia="Calibri"/>
          <w:sz w:val="21"/>
          <w:szCs w:val="21"/>
        </w:rPr>
        <w:t>peticionamento</w:t>
      </w:r>
      <w:proofErr w:type="spellEnd"/>
      <w:r w:rsidRPr="005B7132">
        <w:rPr>
          <w:rFonts w:eastAsia="Calibri"/>
          <w:sz w:val="21"/>
          <w:szCs w:val="21"/>
        </w:rPr>
        <w:t>, as interrupções de serviço decorrentes da falha nos equipamentos dos membros e servidores ou de conexões de internet não oferecidas pela Defensoria Pública do Estado do Amazonas.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  <w:highlight w:val="yellow"/>
        </w:rPr>
      </w:pPr>
      <w:r w:rsidRPr="005B7132">
        <w:rPr>
          <w:rFonts w:eastAsia="Calibri"/>
          <w:sz w:val="21"/>
          <w:szCs w:val="21"/>
        </w:rPr>
        <w:t>Art. 7º Os indicadores setoriais para órgãos de atuação serão os definidos nos anexos I e II.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>Art. 8º As metas setoriais dos órgãos auxiliares e de atuações serão, respectivamente, as fixadas nos anexos III e IV.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sz w:val="21"/>
          <w:szCs w:val="21"/>
        </w:rPr>
        <w:t>Parágrafo único.</w:t>
      </w:r>
      <w:r w:rsidRPr="005B7132">
        <w:rPr>
          <w:rFonts w:eastAsia="Calibri"/>
          <w:sz w:val="21"/>
          <w:szCs w:val="21"/>
        </w:rPr>
        <w:t xml:space="preserve"> O Indicador Setorial de satisfação do assistido, constante do Anexo I, terá como meta para todos órgãos de atuação o índice de 30% (trinta por cento).</w:t>
      </w:r>
    </w:p>
    <w:p w:rsidR="00CE59EC" w:rsidRPr="005B7132" w:rsidRDefault="00CE59EC" w:rsidP="00CE59EC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 xml:space="preserve">Art. 9º Da fixação das metas trimestrais </w:t>
      </w:r>
      <w:proofErr w:type="gramStart"/>
      <w:r w:rsidRPr="005B7132">
        <w:rPr>
          <w:rFonts w:eastAsia="Calibri"/>
          <w:sz w:val="21"/>
          <w:szCs w:val="21"/>
        </w:rPr>
        <w:t>caberá,  uma</w:t>
      </w:r>
      <w:proofErr w:type="gramEnd"/>
      <w:r w:rsidRPr="005B7132">
        <w:rPr>
          <w:rFonts w:eastAsia="Calibri"/>
          <w:sz w:val="21"/>
          <w:szCs w:val="21"/>
        </w:rPr>
        <w:t xml:space="preserve">   só   vez,   pedido   de reconsideração destinado ao Conselho Superior, no prazo de dez dias, contados da data da publicação no Diário Oficial Eletrônico da Defensoria Pública.</w:t>
      </w:r>
    </w:p>
    <w:p w:rsidR="00CE59EC" w:rsidRPr="005B7132" w:rsidRDefault="00CE59EC" w:rsidP="00CE59EC">
      <w:pPr>
        <w:spacing w:after="120" w:line="360" w:lineRule="auto"/>
        <w:ind w:right="-43"/>
        <w:contextualSpacing/>
        <w:jc w:val="both"/>
        <w:rPr>
          <w:rFonts w:eastAsia="Times New Roman"/>
          <w:color w:val="000000"/>
          <w:sz w:val="21"/>
          <w:szCs w:val="21"/>
        </w:rPr>
      </w:pPr>
      <w:r w:rsidRPr="005B7132">
        <w:rPr>
          <w:rFonts w:eastAsia="Times New Roman"/>
          <w:color w:val="000000"/>
          <w:sz w:val="21"/>
          <w:szCs w:val="21"/>
        </w:rPr>
        <w:t xml:space="preserve">Manaus-AM, </w:t>
      </w:r>
      <w:r w:rsidR="00702CE2">
        <w:rPr>
          <w:rFonts w:eastAsia="Times New Roman"/>
          <w:color w:val="000000"/>
          <w:sz w:val="21"/>
          <w:szCs w:val="21"/>
        </w:rPr>
        <w:t>11</w:t>
      </w:r>
      <w:r w:rsidRPr="005B7132">
        <w:rPr>
          <w:rFonts w:eastAsia="Times New Roman"/>
          <w:color w:val="000000"/>
          <w:sz w:val="21"/>
          <w:szCs w:val="21"/>
        </w:rPr>
        <w:t xml:space="preserve"> de outubro de 2019.</w:t>
      </w:r>
    </w:p>
    <w:p w:rsidR="00CE59EC" w:rsidRPr="005B7132" w:rsidRDefault="00CE59EC" w:rsidP="00CE59EC">
      <w:pPr>
        <w:spacing w:after="120" w:line="360" w:lineRule="auto"/>
        <w:ind w:right="-43"/>
        <w:contextualSpacing/>
        <w:jc w:val="both"/>
        <w:rPr>
          <w:rFonts w:eastAsia="Times New Roman"/>
          <w:sz w:val="21"/>
          <w:szCs w:val="21"/>
        </w:rPr>
      </w:pPr>
    </w:p>
    <w:p w:rsidR="00CE59EC" w:rsidRPr="005B7132" w:rsidRDefault="00702CE2" w:rsidP="00CE59EC">
      <w:pPr>
        <w:spacing w:line="360" w:lineRule="auto"/>
        <w:ind w:right="-43"/>
        <w:jc w:val="center"/>
        <w:rPr>
          <w:rFonts w:eastAsia="Times New Roman"/>
          <w:b/>
          <w:bCs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 xml:space="preserve">Melissa Souza </w:t>
      </w:r>
      <w:proofErr w:type="spellStart"/>
      <w:r>
        <w:rPr>
          <w:rFonts w:eastAsia="Times New Roman"/>
          <w:b/>
          <w:bCs/>
          <w:color w:val="000000"/>
          <w:sz w:val="21"/>
          <w:szCs w:val="21"/>
        </w:rPr>
        <w:t>Credie</w:t>
      </w:r>
      <w:proofErr w:type="spellEnd"/>
      <w:r>
        <w:rPr>
          <w:rFonts w:eastAsia="Times New Roman"/>
          <w:b/>
          <w:bCs/>
          <w:color w:val="000000"/>
          <w:sz w:val="21"/>
          <w:szCs w:val="21"/>
        </w:rPr>
        <w:t xml:space="preserve"> Borborema</w:t>
      </w:r>
      <w:r w:rsidR="00CE59EC" w:rsidRPr="005B7132">
        <w:rPr>
          <w:rFonts w:eastAsia="Times New Roman"/>
          <w:b/>
          <w:bCs/>
          <w:color w:val="000000"/>
          <w:sz w:val="21"/>
          <w:szCs w:val="21"/>
        </w:rPr>
        <w:t xml:space="preserve"> </w:t>
      </w:r>
    </w:p>
    <w:p w:rsidR="00CE59EC" w:rsidRPr="005B7132" w:rsidRDefault="00CE59EC" w:rsidP="00CE59EC">
      <w:pPr>
        <w:spacing w:line="360" w:lineRule="auto"/>
        <w:ind w:right="-43"/>
        <w:jc w:val="center"/>
        <w:rPr>
          <w:rFonts w:eastAsia="Times New Roman"/>
          <w:bCs/>
          <w:color w:val="000000"/>
          <w:sz w:val="21"/>
          <w:szCs w:val="21"/>
        </w:rPr>
      </w:pPr>
      <w:r w:rsidRPr="005B7132">
        <w:rPr>
          <w:rFonts w:eastAsia="Times New Roman"/>
          <w:bCs/>
          <w:color w:val="000000"/>
          <w:sz w:val="21"/>
          <w:szCs w:val="21"/>
        </w:rPr>
        <w:t>Defensor</w:t>
      </w:r>
      <w:r w:rsidR="00702CE2">
        <w:rPr>
          <w:rFonts w:eastAsia="Times New Roman"/>
          <w:bCs/>
          <w:color w:val="000000"/>
          <w:sz w:val="21"/>
          <w:szCs w:val="21"/>
        </w:rPr>
        <w:t>a Pública</w:t>
      </w:r>
      <w:r w:rsidRPr="005B7132">
        <w:rPr>
          <w:rFonts w:eastAsia="Times New Roman"/>
          <w:bCs/>
          <w:color w:val="000000"/>
          <w:sz w:val="21"/>
          <w:szCs w:val="21"/>
        </w:rPr>
        <w:t>-Geral, em exercício</w:t>
      </w:r>
    </w:p>
    <w:p w:rsidR="00CE59EC" w:rsidRPr="005B7132" w:rsidRDefault="00CE59EC" w:rsidP="00CE59EC">
      <w:pPr>
        <w:spacing w:line="360" w:lineRule="auto"/>
        <w:ind w:right="-43"/>
        <w:jc w:val="center"/>
        <w:rPr>
          <w:rFonts w:eastAsia="Times New Roman"/>
          <w:sz w:val="21"/>
          <w:szCs w:val="21"/>
        </w:rPr>
      </w:pPr>
      <w:r w:rsidRPr="005B7132">
        <w:rPr>
          <w:rFonts w:eastAsia="Times New Roman"/>
          <w:bCs/>
          <w:color w:val="000000"/>
          <w:sz w:val="21"/>
          <w:szCs w:val="21"/>
        </w:rPr>
        <w:t xml:space="preserve"> Presidente do Conselho Superior </w:t>
      </w:r>
    </w:p>
    <w:p w:rsidR="005B7132" w:rsidRPr="005B7132" w:rsidRDefault="005B7132" w:rsidP="005B7132">
      <w:pPr>
        <w:spacing w:after="120" w:line="360" w:lineRule="auto"/>
        <w:jc w:val="both"/>
        <w:rPr>
          <w:rFonts w:eastAsia="Calibri"/>
          <w:sz w:val="21"/>
          <w:szCs w:val="21"/>
        </w:rPr>
      </w:pPr>
    </w:p>
    <w:p w:rsidR="005B7132" w:rsidRDefault="005B7132" w:rsidP="008A1545">
      <w:pPr>
        <w:spacing w:after="120" w:line="360" w:lineRule="auto"/>
        <w:jc w:val="both"/>
        <w:rPr>
          <w:rFonts w:eastAsia="Calibri"/>
          <w:sz w:val="21"/>
          <w:szCs w:val="21"/>
        </w:rPr>
      </w:pPr>
      <w:r w:rsidRPr="005B7132">
        <w:rPr>
          <w:rFonts w:eastAsia="Calibri"/>
          <w:sz w:val="21"/>
          <w:szCs w:val="21"/>
        </w:rPr>
        <w:t xml:space="preserve">*Republicada por conter erro na publicação do dia </w:t>
      </w:r>
      <w:r w:rsidR="00702CE2">
        <w:rPr>
          <w:rFonts w:eastAsia="Calibri"/>
          <w:sz w:val="21"/>
          <w:szCs w:val="21"/>
        </w:rPr>
        <w:t>7</w:t>
      </w:r>
      <w:r w:rsidRPr="005B7132">
        <w:rPr>
          <w:rFonts w:eastAsia="Calibri"/>
          <w:sz w:val="21"/>
          <w:szCs w:val="21"/>
        </w:rPr>
        <w:t xml:space="preserve"> de outubro de 2019 do Diário Oficial Eletrônico da Defensoria Pública do Estado, Edição </w:t>
      </w:r>
      <w:r>
        <w:rPr>
          <w:rFonts w:eastAsia="Calibri"/>
          <w:sz w:val="21"/>
          <w:szCs w:val="21"/>
        </w:rPr>
        <w:t>nº 109</w:t>
      </w:r>
      <w:r w:rsidR="00702CE2">
        <w:rPr>
          <w:rFonts w:eastAsia="Calibri"/>
          <w:sz w:val="21"/>
          <w:szCs w:val="21"/>
        </w:rPr>
        <w:t>2</w:t>
      </w:r>
      <w:r>
        <w:rPr>
          <w:rFonts w:eastAsia="Calibri"/>
          <w:sz w:val="21"/>
          <w:szCs w:val="21"/>
        </w:rPr>
        <w:t xml:space="preserve">, págs. </w:t>
      </w:r>
      <w:r w:rsidR="00702CE2">
        <w:rPr>
          <w:rFonts w:eastAsia="Calibri"/>
          <w:sz w:val="21"/>
          <w:szCs w:val="21"/>
        </w:rPr>
        <w:t>7</w:t>
      </w:r>
      <w:r>
        <w:rPr>
          <w:rFonts w:eastAsia="Calibri"/>
          <w:sz w:val="21"/>
          <w:szCs w:val="21"/>
        </w:rPr>
        <w:t xml:space="preserve"> a </w:t>
      </w:r>
      <w:r w:rsidR="00702CE2">
        <w:rPr>
          <w:rFonts w:eastAsia="Calibri"/>
          <w:sz w:val="21"/>
          <w:szCs w:val="21"/>
        </w:rPr>
        <w:t>42</w:t>
      </w:r>
      <w:r>
        <w:rPr>
          <w:rFonts w:eastAsia="Calibri"/>
          <w:sz w:val="21"/>
          <w:szCs w:val="21"/>
        </w:rPr>
        <w:t xml:space="preserve">. </w:t>
      </w:r>
    </w:p>
    <w:p w:rsidR="008A1545" w:rsidRDefault="008A1545" w:rsidP="008A1545">
      <w:pPr>
        <w:spacing w:after="120" w:line="360" w:lineRule="auto"/>
        <w:jc w:val="both"/>
        <w:rPr>
          <w:rFonts w:eastAsia="Calibri"/>
          <w:sz w:val="21"/>
          <w:szCs w:val="21"/>
        </w:rPr>
      </w:pPr>
    </w:p>
    <w:p w:rsidR="008A1545" w:rsidRDefault="008A1545" w:rsidP="008A1545">
      <w:pPr>
        <w:spacing w:after="120" w:line="360" w:lineRule="auto"/>
        <w:jc w:val="both"/>
        <w:rPr>
          <w:rFonts w:eastAsia="Calibri"/>
          <w:sz w:val="21"/>
          <w:szCs w:val="21"/>
        </w:rPr>
      </w:pPr>
    </w:p>
    <w:tbl>
      <w:tblPr>
        <w:tblW w:w="9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2283"/>
        <w:gridCol w:w="1587"/>
        <w:gridCol w:w="1782"/>
        <w:gridCol w:w="994"/>
        <w:gridCol w:w="180"/>
        <w:gridCol w:w="745"/>
      </w:tblGrid>
      <w:tr w:rsidR="008A1545" w:rsidRPr="008A1545" w:rsidTr="008A1545">
        <w:trPr>
          <w:trHeight w:val="9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A1545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ÁREA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A1545">
              <w:rPr>
                <w:rFonts w:ascii="Calibri" w:eastAsia="Times New Roman" w:hAnsi="Calibri" w:cs="Calibri"/>
                <w:b/>
                <w:bCs/>
                <w:color w:val="FFFFFF"/>
              </w:rPr>
              <w:t>INDICADOR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A1545">
              <w:rPr>
                <w:rFonts w:ascii="Calibri" w:eastAsia="Times New Roman" w:hAnsi="Calibri" w:cs="Calibri"/>
                <w:b/>
                <w:bCs/>
                <w:color w:val="FFFFFF"/>
              </w:rPr>
              <w:t>PERIDIOCIDADE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A1545">
              <w:rPr>
                <w:rFonts w:ascii="Calibri" w:eastAsia="Times New Roman" w:hAnsi="Calibri" w:cs="Calibri"/>
                <w:b/>
                <w:bCs/>
                <w:color w:val="FFFFFF"/>
              </w:rPr>
              <w:t>SENTIDO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A1545">
              <w:rPr>
                <w:rFonts w:ascii="Calibri" w:eastAsia="Times New Roman" w:hAnsi="Calibri" w:cs="Calibri"/>
                <w:b/>
                <w:bCs/>
                <w:color w:val="FFFFFF"/>
              </w:rPr>
              <w:t>Unidade Medida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1545">
              <w:rPr>
                <w:rFonts w:ascii="Calibri" w:eastAsia="Times New Roman" w:hAnsi="Calibri" w:cs="Calibri"/>
                <w:b/>
                <w:bCs/>
              </w:rPr>
              <w:t>META T4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CERIMONIAL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SATISFAÇÃO COM CERIMONIAL (AVALIADO POR MEMBROS QUE PARTICIPAM DE EVENTOS)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90,0%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DISK DEFENSORIA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ATENDIMENTOS REALIZADO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8A1545">
              <w:rPr>
                <w:rFonts w:ascii="Calibri" w:eastAsia="Times New Roman" w:hAnsi="Calibri" w:cs="Calibri"/>
              </w:rPr>
              <w:t>unid</w:t>
            </w:r>
            <w:proofErr w:type="spellEnd"/>
            <w:proofErr w:type="gramEnd"/>
            <w:r w:rsidRPr="008A1545">
              <w:rPr>
                <w:rFonts w:ascii="Calibri" w:eastAsia="Times New Roman" w:hAnsi="Calibri" w:cs="Calibri"/>
              </w:rPr>
              <w:t>/mês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8.000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CHEFIA DE GABINETE DPG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TEMPO MÉDIO DE ANÁLISE DE PROCESSOS (DESPACHOS CORRENTES)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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8A1545">
              <w:rPr>
                <w:rFonts w:ascii="Calibri" w:eastAsia="Times New Roman" w:hAnsi="Calibri" w:cs="Calibri"/>
              </w:rPr>
              <w:t>dias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úteis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2,0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CHEFIA DE GABINETE SUB DPG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TEMPO MÉDIO DE ANÁLISE DE PROCESSOS (DESPACHOS CORRENTES)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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8A1545">
              <w:rPr>
                <w:rFonts w:ascii="Calibri" w:eastAsia="Times New Roman" w:hAnsi="Calibri" w:cs="Calibri"/>
              </w:rPr>
              <w:t>dias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úteis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2,0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CONTROLE INTERNO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TEMPO MÉDIO DE ANÁLISE DE PROCESSOS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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8A1545">
              <w:rPr>
                <w:rFonts w:ascii="Calibri" w:eastAsia="Times New Roman" w:hAnsi="Calibri" w:cs="Calibri"/>
              </w:rPr>
              <w:t>dias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úteis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2,0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CORREGEDORIA GERAL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NÚMERO MÍNIMO DE ATOS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8A1545">
              <w:rPr>
                <w:rFonts w:ascii="Calibri" w:eastAsia="Times New Roman" w:hAnsi="Calibri" w:cs="Calibri"/>
              </w:rPr>
              <w:t>unid</w:t>
            </w:r>
            <w:proofErr w:type="spellEnd"/>
            <w:proofErr w:type="gramEnd"/>
            <w:r w:rsidRPr="008A1545">
              <w:rPr>
                <w:rFonts w:ascii="Calibri" w:eastAsia="Times New Roman" w:hAnsi="Calibri" w:cs="Calibri"/>
              </w:rPr>
              <w:t>/mês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CORREGEDORIA GERAL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TEMPO DE RESPOSTA DE RECLAMAÇÕES (AVERIGUAÇÃO PRELIMINAR)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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8A1545">
              <w:rPr>
                <w:rFonts w:ascii="Calibri" w:eastAsia="Times New Roman" w:hAnsi="Calibri" w:cs="Calibri"/>
              </w:rPr>
              <w:t>dias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úteis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30,0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DIRETORIA ADMINISTRATIVA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CUMPRIMENTO DE ANÁLISE DE PROCESSOS (DESPACHOS CORRENTES) NO PRAZO DE 2 DIAS ÚTEIS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90,0%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COMPRAS E CONTRATOS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CUMPRIMENTO DE INSTRUÇÃO PROCESSUAL DE ALTERAÇÃO CONTRATUAL NO PRAZO DE 18 DIAS ÚTEIS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90,0%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COMPRAS E CONTRATOS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CUMPRIMENTO DE INSTRUÇÃO PROCESSUAL DE CONTRATAÇÃO DE SERVIÇOS E AQUISIÇÃO DE BENS NO PRAZO DE 8 DIAS ÚTEIS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90,0%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GESTÃO DE PESSOAS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TEMPO DE TRAMITAÇÃO DE PROCESSOS (DIÁRIAS / PASSAGEM / FOLHA FÉRIAS E LICENÇA)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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8A1545">
              <w:rPr>
                <w:rFonts w:ascii="Calibri" w:eastAsia="Times New Roman" w:hAnsi="Calibri" w:cs="Calibri"/>
              </w:rPr>
              <w:t>dias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úteis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8,0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LOGÍSTICA – TRANSPORTE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SATISFAÇÃO COM O SERVIÇOS DE TRANSPORTE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90,0%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LOGÍSTICA – ALMOXARIFADO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PRAZO DE ATENDIMENTO A DEMANDA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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8A1545">
              <w:rPr>
                <w:rFonts w:ascii="Calibri" w:eastAsia="Times New Roman" w:hAnsi="Calibri" w:cs="Calibri"/>
              </w:rPr>
              <w:t>dias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úteis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3,0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GERÊNCIA DE SERVIÇOS - MANUTENÇÃO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TEMPO DE RESPOSTA DE SOLICITAÇÃO DE SERVIÇOS GERAIS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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8A1545">
              <w:rPr>
                <w:rFonts w:ascii="Calibri" w:eastAsia="Times New Roman" w:hAnsi="Calibri" w:cs="Calibri"/>
              </w:rPr>
              <w:t>dias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úteis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DIRETORIA DE APOIO JURÍDICO E ASSUNTOS INSTITUCIONAIS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TEMPO MÉDIO DE ANÁLISE DE PROCESSOS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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8A1545">
              <w:rPr>
                <w:rFonts w:ascii="Calibri" w:eastAsia="Times New Roman" w:hAnsi="Calibri" w:cs="Calibri"/>
              </w:rPr>
              <w:t>dias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úteis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3,0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 xml:space="preserve">DEFENSORIA ITINERANTE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NÚMERO MÍNIMO DE PROTOCOLOS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8A1545">
              <w:rPr>
                <w:rFonts w:ascii="Calibri" w:eastAsia="Times New Roman" w:hAnsi="Calibri" w:cs="Calibri"/>
              </w:rPr>
              <w:t>unid</w:t>
            </w:r>
            <w:proofErr w:type="spellEnd"/>
            <w:proofErr w:type="gramEnd"/>
            <w:r w:rsidRPr="008A1545">
              <w:rPr>
                <w:rFonts w:ascii="Calibri" w:eastAsia="Times New Roman" w:hAnsi="Calibri" w:cs="Calibri"/>
              </w:rPr>
              <w:t>/mês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ORÇAMENTO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PRAZO MÉDIO DE EMPENHAMENTO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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8A1545">
              <w:rPr>
                <w:rFonts w:ascii="Calibri" w:eastAsia="Times New Roman" w:hAnsi="Calibri" w:cs="Calibri"/>
              </w:rPr>
              <w:t>dias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úteis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4,0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DIRETORIA DE COMUNICAÇÃO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NÚMERO DE CHAMADAS/INSERÇÕES POSITIVAS (PORTAIS, BLOGS, JORNAIS IMPRESSOS, TELEVISÃO E RÁDIO)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8A1545">
              <w:rPr>
                <w:rFonts w:ascii="Calibri" w:eastAsia="Times New Roman" w:hAnsi="Calibri" w:cs="Calibri"/>
              </w:rPr>
              <w:t>unid</w:t>
            </w:r>
            <w:proofErr w:type="spellEnd"/>
            <w:proofErr w:type="gramEnd"/>
            <w:r w:rsidRPr="008A1545">
              <w:rPr>
                <w:rFonts w:ascii="Calibri" w:eastAsia="Times New Roman" w:hAnsi="Calibri" w:cs="Calibri"/>
              </w:rPr>
              <w:t>/mês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DIRETORIA DE COMUNICAÇÃO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PROMOÇÃO DE CAMPANHAS INTERNAS E EXTERNAS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TRIMESTRAL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8A1545">
              <w:rPr>
                <w:rFonts w:ascii="Calibri" w:eastAsia="Times New Roman" w:hAnsi="Calibri" w:cs="Calibri"/>
              </w:rPr>
              <w:t>unid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TECNOLOGIA DA INFORMAÇÃO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CUMPRIMENTO DE SOLICITAÇÕES DENTRO DO PRAZO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90,0%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TECNOLOGIA DA INFORMAÇÃO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SATISFAÇÃO DO ATENDIMENTO (TI)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90,0%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DIVISÃO DE INOVAÇÃO E TECNOLOGIA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 xml:space="preserve">TEMPO MÉDIO </w:t>
            </w:r>
            <w:proofErr w:type="gramStart"/>
            <w:r w:rsidRPr="008A1545">
              <w:rPr>
                <w:rFonts w:ascii="Calibri" w:eastAsia="Times New Roman" w:hAnsi="Calibri" w:cs="Calibri"/>
              </w:rPr>
              <w:t>DE  DESENVOLVIMENTO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DE SOLUÇÕES DE TECNOLOGIA E INOVAÇÕES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TRIMESTRAL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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8A1545">
              <w:rPr>
                <w:rFonts w:ascii="Calibri" w:eastAsia="Times New Roman" w:hAnsi="Calibri" w:cs="Calibri"/>
              </w:rPr>
              <w:t>dias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úteis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30,0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DIRETORIA DE PLANEJAMENTO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CUMPRIMENTO DO CALENDÁRIO DA AUDITORIA DE PROCESSOS DE ATENDIMENTO E AUDITORIA DOS RESULTADOS DA MERITOCRACIA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TRIMESTRAL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90,0%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ESCOLA SUPERIOR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NÚMERO MÍNIMO DE CURSOS DE CAPACITAÇÃO DE SERVIDORES E DEFENSORES (OFERECIDOS PELA PRÓPRIA ESCOLA)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8A1545">
              <w:rPr>
                <w:rFonts w:ascii="Calibri" w:eastAsia="Times New Roman" w:hAnsi="Calibri" w:cs="Calibri"/>
              </w:rPr>
              <w:t>unid</w:t>
            </w:r>
            <w:proofErr w:type="spellEnd"/>
            <w:proofErr w:type="gramEnd"/>
            <w:r w:rsidRPr="008A1545">
              <w:rPr>
                <w:rFonts w:ascii="Calibri" w:eastAsia="Times New Roman" w:hAnsi="Calibri" w:cs="Calibri"/>
              </w:rPr>
              <w:t>/mês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ESCOLA SUPERIOR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TEMPO DE RESPOSTA ÀS DEMANDAS DOS DEFENSORES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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8A1545">
              <w:rPr>
                <w:rFonts w:ascii="Calibri" w:eastAsia="Times New Roman" w:hAnsi="Calibri" w:cs="Calibri"/>
              </w:rPr>
              <w:t>dias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úteis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2,0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CONSELHO SUPERIOR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AVALIAÇÃO INDIVIDUAL DOS INTEGRANTES DO CONSELHO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90,0%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EXECUÇÃO HONORÁRIOS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 xml:space="preserve">ATOS JUDICIAIS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8A1545">
              <w:rPr>
                <w:rFonts w:ascii="Calibri" w:eastAsia="Times New Roman" w:hAnsi="Calibri" w:cs="Calibri"/>
              </w:rPr>
              <w:t>unid</w:t>
            </w:r>
            <w:proofErr w:type="spellEnd"/>
            <w:proofErr w:type="gramEnd"/>
            <w:r w:rsidRPr="008A1545">
              <w:rPr>
                <w:rFonts w:ascii="Calibri" w:eastAsia="Times New Roman" w:hAnsi="Calibri" w:cs="Calibri"/>
              </w:rPr>
              <w:t>/mês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GERÊNCIA DE SERVIÇOS - OUTROS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SATISFAÇÃO COM O SERVIÇOS DE COPA E VIGILÂNCIA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TRIMESTRAL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90,0%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Engenharia e Arquitetura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Prazo de atendimento da demanda de vistorias para emissão de laudo técnico/parecer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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8A1545">
              <w:rPr>
                <w:rFonts w:ascii="Calibri" w:eastAsia="Times New Roman" w:hAnsi="Calibri" w:cs="Calibri"/>
              </w:rPr>
              <w:t>dias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úteis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ESCOLA SUPERIOR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NÚMERO MÍNIMO VAGAS OFERTADAS POR MÊS EM CURSOS DE CAPACITAÇÃO DE SERVIDORES E DEFENSORES (OFERECIDOS PELA PRÓPRIA ESCOLA)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8A1545">
              <w:rPr>
                <w:rFonts w:ascii="Calibri" w:eastAsia="Times New Roman" w:hAnsi="Calibri" w:cs="Calibri"/>
              </w:rPr>
              <w:t>unid</w:t>
            </w:r>
            <w:proofErr w:type="spellEnd"/>
            <w:proofErr w:type="gramEnd"/>
            <w:r w:rsidRPr="008A1545">
              <w:rPr>
                <w:rFonts w:ascii="Calibri" w:eastAsia="Times New Roman" w:hAnsi="Calibri" w:cs="Calibri"/>
              </w:rPr>
              <w:t>/mês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Secretaria Núcleo 24 Maio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% DE SATISFAÇÃO DOS ASSISTIDOS COM RELAÇÃO AO ATENDIMENTO DA RECEPÇÃO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 xml:space="preserve">Secretaria Núcleo Cível - São </w:t>
            </w:r>
            <w:proofErr w:type="spellStart"/>
            <w:r w:rsidRPr="008A1545">
              <w:rPr>
                <w:rFonts w:ascii="Calibri" w:eastAsia="Times New Roman" w:hAnsi="Calibri" w:cs="Calibri"/>
                <w:color w:val="000000"/>
              </w:rPr>
              <w:t>Luis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% DE SATISFAÇÃO DOS ASSISTIDOS COM RELAÇÃO AO ATENDIMENTO DA RECEPÇÃO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Secretaria Núcleo Criminal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% DE SATISFAÇÃO DOS ASSISTIDOS COM RELAÇÃO AO ATENDIMENTO DA RECEPÇÃO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Secretaria Núcleo Psicossocial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TEMPO DE RESPOSTA ÀS DEMANDAS DOS DEFENSORES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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8A1545">
              <w:rPr>
                <w:rFonts w:ascii="Calibri" w:eastAsia="Times New Roman" w:hAnsi="Calibri" w:cs="Calibri"/>
              </w:rPr>
              <w:t>dias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úteis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Secretaria Casa da Cidadania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% DE SATISFAÇÃO DOS ASSISTIDOS COM RELAÇÃO AO ATENDIMENTO DA RECEPÇÃO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Secretaria Shopping Cidade Leste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% DE SATISFAÇÃO DOS ASSISTIDOS COM RELAÇÃO AO ATENDIMENTO DA RECEPÇÃO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PROTOCOLO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TEMPO DA DISTRIBUIÇÃO DOS PROTOCOLOS RECEBIDOS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MENSAL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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8A1545">
              <w:rPr>
                <w:rFonts w:ascii="Calibri" w:eastAsia="Times New Roman" w:hAnsi="Calibri" w:cs="Calibri"/>
              </w:rPr>
              <w:t>dias</w:t>
            </w:r>
            <w:proofErr w:type="gramEnd"/>
            <w:r w:rsidRPr="008A1545">
              <w:rPr>
                <w:rFonts w:ascii="Calibri" w:eastAsia="Times New Roman" w:hAnsi="Calibri" w:cs="Calibri"/>
              </w:rPr>
              <w:t xml:space="preserve"> úteis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A1545" w:rsidRPr="008A1545" w:rsidTr="008A1545">
        <w:trPr>
          <w:trHeight w:val="9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DPG E SUB DPG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% DE ÓRGÃOS, UNIDADES DE ATENDIMENTO E SETORES DA SEDE COM META ATINGIDA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TRIMESTRAL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Wingdings 3" w:eastAsia="Times New Roman" w:hAnsi="Wingdings 3" w:cs="Calibri"/>
              </w:rPr>
            </w:pPr>
            <w:r w:rsidRPr="008A1545">
              <w:rPr>
                <w:rFonts w:ascii="Wingdings 3" w:eastAsia="Times New Roman" w:hAnsi="Wingdings 3" w:cs="Calibri"/>
              </w:rPr>
              <w:t>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</w:tbl>
    <w:p w:rsidR="008A1545" w:rsidRPr="005B7132" w:rsidRDefault="008A1545" w:rsidP="008A1545">
      <w:pPr>
        <w:spacing w:after="120" w:line="360" w:lineRule="auto"/>
        <w:jc w:val="both"/>
        <w:rPr>
          <w:rFonts w:eastAsia="Calibri"/>
          <w:sz w:val="21"/>
          <w:szCs w:val="21"/>
        </w:rPr>
      </w:pPr>
    </w:p>
    <w:p w:rsidR="005B7132" w:rsidRDefault="005B7132" w:rsidP="00CE59EC">
      <w:pPr>
        <w:spacing w:after="120" w:line="360" w:lineRule="auto"/>
        <w:jc w:val="center"/>
        <w:rPr>
          <w:rFonts w:eastAsia="Calibri"/>
          <w:sz w:val="21"/>
          <w:szCs w:val="21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09"/>
        <w:gridCol w:w="2636"/>
        <w:gridCol w:w="1560"/>
        <w:gridCol w:w="1984"/>
      </w:tblGrid>
      <w:tr w:rsidR="008A1545" w:rsidRPr="008A1545" w:rsidTr="008A1545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1F4E78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bookmarkStart w:id="1" w:name="RANGE!B3:E83"/>
            <w:r w:rsidRPr="008A1545">
              <w:rPr>
                <w:rFonts w:ascii="Calibri" w:eastAsia="Times New Roman" w:hAnsi="Calibri" w:cs="Calibri"/>
                <w:b/>
                <w:bCs/>
                <w:color w:val="FFFFFF"/>
              </w:rPr>
              <w:t>ÁREA</w:t>
            </w:r>
            <w:bookmarkEnd w:id="1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1F4E78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A1545">
              <w:rPr>
                <w:rFonts w:ascii="Calibri" w:eastAsia="Times New Roman" w:hAnsi="Calibri" w:cs="Calibri"/>
                <w:b/>
                <w:bCs/>
                <w:color w:val="FFFFFF"/>
              </w:rPr>
              <w:t>SUBÁREA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1F4E78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A1545">
              <w:rPr>
                <w:rFonts w:ascii="Calibri" w:eastAsia="Times New Roman" w:hAnsi="Calibri" w:cs="Calibri"/>
                <w:b/>
                <w:bCs/>
                <w:color w:val="FFFFFF"/>
              </w:rPr>
              <w:t>ÓRGÃO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1F4E78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A1545">
              <w:rPr>
                <w:rFonts w:ascii="Calibri" w:eastAsia="Times New Roman" w:hAnsi="Calibri" w:cs="Calibri"/>
                <w:b/>
                <w:bCs/>
                <w:color w:val="FFFFFF"/>
              </w:rPr>
              <w:t>INDICADOR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1F4E78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A1545">
              <w:rPr>
                <w:rFonts w:ascii="Calibri" w:eastAsia="Times New Roman" w:hAnsi="Calibri" w:cs="Calibri"/>
                <w:b/>
                <w:bCs/>
                <w:color w:val="FFFFFF"/>
              </w:rPr>
              <w:t>Meta T4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Acordos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50%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CÍVEL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Audiência Extrajudicial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17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CÍVEL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Petição Inicial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Acordos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50%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Audiência Extrajudicial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17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Petição Inicial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Acordos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50%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Audiência Extrajudicial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17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Petição Inicial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Petição Inicial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Acordos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50%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6ª DP DE 1ª INST. CÍVEL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Audiência Extrajudicial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17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6ª DP DE 1ª INST. CÍVEL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Petição Inicial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2º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1ª, 2ª, 3ª e 6ª DP DE 2ª INST.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315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ESPEC. EM MEIO AMBIENTE E QUESTÕES AGRÁRIAS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53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ESPEC. EM MEIO AMBIENTE E QUESTÕES AGRÁRIAS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DE DEF DOS DIREITOS RELAC À SAÚDE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1060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DE DEF DOS DIREITOS RELAC À SAÚDE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318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DE DEF DOS DIREITOS RELAC À SAÚDE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Atuação Extrajudicial Coletiva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a 5ª DP DE 1ª INST. DE ATEND. À MULHER EM SIT. DE VIOLÊNCIA DE GÊNERO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1325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a 5ª DP DE 1ª INST. DE ATEND. À MULHER EM SIT. DE VIOLÊNCIA DE GÊNERO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GTI - GRUPO DE TRABALHO DO INTERIOR DO ESTADO DO 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477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GTI - GRUPO DE TRABALHO DO INTERIOR DO ESTADO DO 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PÓLO DE ATENDIMENTO - HUMAITÁ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PÓLO DE ATENDIMENTO - HUMAITÁ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1749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PÓLO DE ATENDIMENTO - HUMAITÁ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Atuação Extrajudicial Coletiva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PÓLO DE ATENDIMENTO - ITACOATIARA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PÓLO DE ATENDIMENTO - ITACOATIARA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1749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PÓLO DE ATENDIMENTO - ITACOATIARA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Atuação Extrajudicial Coletiva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PARINTINS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PARINTINS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1749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PARINTINS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Atuação Extrajudicial Coletiva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e 2ª DP TEFÉ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e 2ª DP TEFÉ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1749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INTERIOR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e 2ª DP TEFÉ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Atuação Extrajudicial Coletiva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a 5ª DP DE 1ª INST. DE ATEND. À MULHER EM SIT. DE VIOLÊNCIA DE GÊNERO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Atuação Extrajudicial Coletiva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DA INFÂNCIA E JUVENTUDE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795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DA INFÂNCIA E JUVENTUDE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3ª DP DE 1ª INST. DA INFÂNCIA E JUVENTUDE - JUNTO À DELEGACIA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3ª DP DE 1ª INST. DA INFÂNCIA E JUVENTUDE - JUNTO À DELEGACIA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477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 DP DE 1ª INST. DA INFÂNCIA E JUVENTUDE - JUIZADO INFRACIONAL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318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 DP DE 1ª INST. DA INFÂNCIA E JUVENTUDE - JUIZADO INFRACIONAL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530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5ª DP DE 1ª INST. DA INFÂNCIA E JUVENTUDE - CUMPR. DE MED. SÓCIO-EDUCATIVAS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5ª DP DE 1ª INST. DA INFÂNCIA E JUVENTUDE - CUMPR. DE MED. SÓCIO-EDUCATIVAS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DE 1ª INST. ESPEC DE ATEND. AO IDOSO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318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DE 1ª INST. ESPEC DE ATEND. AO IDOSO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DE 1ª INST. ESPEC DE ATEND. AO IDOSO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Atuação Extrajudicial Coletiva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ESPECIALIZADA EM MATÉRIA FUNDIÁRIA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557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ESPECIALIZADA EM MATÉRIA FUNDIÁRIA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186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ESPECIALIZADA EM MATÉRIA FUNDIÁRIA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ESPECIALIZADA EM MATÉRIA FUNDIÁRIA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53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DE 1ª INST. ESPEC NA PROM E DEF DOS DIREITOS HUMANOS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DE 1ª INST. ESPEC NA PROM E DEF DOS DIREITOS HUMANOS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53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DE 1ª INST. ESPEC NA PROM E DEF DOS DIREITOS HUMANOS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Atuação Extrajudicial Coletiva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ESPECIALIZADA DE ATEND. AO CONSUMIDOR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742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ESPECIALIZADA DE ATEND. AO CONSUMIDOR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133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ESPECIALIZADA DE ATEND. AO CONSUMIDOR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742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ESPECIALIZADA DE ATEND. AO CONSUMIDOR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133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DE 1ª INST. ESPEC. EM INTERESSES COLETIVOS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477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DE 1ª INST. ESPEC. EM INTERESSES COLETIVOS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53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Acordos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50%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2120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1325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Acordos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50%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1696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1060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7ª DP DE 1ª INST. DE FAMÍLIA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Acordos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50%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7ª DP DE 1ª INST. DE FAMÍLIA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2968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1855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Acordos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50%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1484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928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Acordos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50%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1272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795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% de Acordos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50%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1272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795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PÓLO AVANÇADO - CEJUSC - CENTRO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636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INICIAL/SUC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PÓLO AVANÇADO - CEJUSC - CENTRO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239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9ª DP DE 1ª INST. DE FAMÍLIA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9ª DP DE 1ª INST. DE FAMÍLIA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292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795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795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11ª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795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11ª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795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12ª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477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12ª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13ª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636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13ª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14ª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636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14ª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636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16ª DP DE 1ª INST. DE FAMÍLIA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318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16ª DP DE 1ª INST. DE FAMÍLIA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17ª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17ª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292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18ª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530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18ª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530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19ª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530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19ª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530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20ª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20ª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292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398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477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22ª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398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22ª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477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23ª DP DE 1ª INST. DE FAMÍLIA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23ª DP DE 1ª INST. DE FAMÍLIA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24ª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24ª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25ª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25ª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689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26ª DP DE 1ª INST. DE FAMÍLIA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689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ESPEC. EM SUCESSÕES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530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ESPEC. EM SUCESSÕES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53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ESPEC. EM SUCESSÕES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477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FAMÍLIA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FORENSE/SUC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ESPEC. EM SUCESSÕES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DE 1ª INST. ESPEC. EM INTERESSES COLETIVOS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Atuação Extrajudicial Coletiva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53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DE 1ª INST. ESPEC. NO ATEND. DE REGISTROS PÚBLICOS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530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ESPEC/RP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DE 1ª INST. ESPEC. NO ATEND. DE REGISTROS PÚBLICOS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CRIMINAL/CÍVEL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JUIZADO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DO JUIZADO ESPECIAL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1545">
              <w:rPr>
                <w:rFonts w:ascii="Calibri" w:eastAsia="Times New Roman" w:hAnsi="Calibri" w:cs="Calibri"/>
                <w:b/>
                <w:bCs/>
              </w:rPr>
              <w:t>318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CRIMINAL/CÍVEL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JUIZADO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DO JUIZADO ESPECIAL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1545">
              <w:rPr>
                <w:rFonts w:ascii="Calibri" w:eastAsia="Times New Roman" w:hAnsi="Calibri" w:cs="Calibri"/>
                <w:b/>
                <w:bCs/>
              </w:rPr>
              <w:t>318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CRIMINAL/CÍVEL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JUIZADO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3ª DP DE 1ª INST. DO JUIZADO ESPECIAL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1545">
              <w:rPr>
                <w:rFonts w:ascii="Calibri" w:eastAsia="Times New Roman" w:hAnsi="Calibri" w:cs="Calibri"/>
                <w:b/>
                <w:bCs/>
              </w:rPr>
              <w:t>318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JUIZADO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 DP DE 1ª INST. DO JUIZADO ESPECIAL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1545">
              <w:rPr>
                <w:rFonts w:ascii="Calibri" w:eastAsia="Times New Roman" w:hAnsi="Calibri" w:cs="Calibri"/>
                <w:b/>
                <w:bCs/>
              </w:rPr>
              <w:t>318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CRIMINAL/CÍVEL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JUIZADO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5ª DP DE 1ª INST. DO JUIZADO ESPECIAL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1545">
              <w:rPr>
                <w:rFonts w:ascii="Calibri" w:eastAsia="Times New Roman" w:hAnsi="Calibri" w:cs="Calibri"/>
                <w:b/>
                <w:bCs/>
              </w:rPr>
              <w:t>398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JUIZADO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6ª DP DE 1ª INST. DO JUIZADO ESPECIAL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1545">
              <w:rPr>
                <w:rFonts w:ascii="Calibri" w:eastAsia="Times New Roman" w:hAnsi="Calibri" w:cs="Calibri"/>
                <w:b/>
                <w:bCs/>
              </w:rPr>
              <w:t>557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JUIZADO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7ª DP DE 1ª INST. DO JUIZADO ESPECIAL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1545">
              <w:rPr>
                <w:rFonts w:ascii="Calibri" w:eastAsia="Times New Roman" w:hAnsi="Calibri" w:cs="Calibri"/>
                <w:b/>
                <w:bCs/>
              </w:rPr>
              <w:t>318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CRIMINAL/CÍVEL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JUIZADO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8ª DP DE 1ª INST. DO JUIZADO ESPECIAL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A1545">
              <w:rPr>
                <w:rFonts w:ascii="Calibri" w:eastAsia="Times New Roman" w:hAnsi="Calibri" w:cs="Calibri"/>
                <w:b/>
                <w:bCs/>
              </w:rPr>
              <w:t>318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464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9ª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464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278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11ª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278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12ª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13ª DP DE 1ª INST. CÍVEL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14ª DP DE 1ª INST. CÍVEL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398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398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16ª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278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17ª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278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18ª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19ª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20ª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22ª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23ª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24ª DP DE 1ª INST. CÍVEL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CÍVEL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FORENSE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DPE TCE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CRIMINAL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CRIMINAL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8ª DP DE 1ª INST. CRIMINAL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9ª DP DE 1ª INST. CRIMINAL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9ª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11ª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11ª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451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12ª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12ª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451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13ª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13ª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451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14ª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14ª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451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15ª DP DE 1ª INST. CRIMINAL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318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16ª DP DE 1ª INST. CRIMINAL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16ª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17ª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17ª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18ª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18ª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19ª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19ª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20ª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20ª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22ª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22ª DP DE 1ª INST. CRIMINAL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23ª DP DE 1ª INST. CRIMINAL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23ª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24ª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212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24ª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25ª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795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25ª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345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795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345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27ª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795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27ª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345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28ª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239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28ª DP DE 1ª INST. CRIMINAL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424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2º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4ª, 5ª e 7ª DP DE 2ª INST.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371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ESPEC. DE CUSTÓDIA E FLAGRANTES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DP ESPEC. DE CUSTÓDIA E FLAGRANTES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80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DE ATEND. PRISIONAL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795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 DE 1ª INST. DE ATEND. PRISIONAL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DE ATEND. PRISIONAL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795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 DE 1ª INST. DE ATEND. PRISIONAL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265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DPF DO TRIBUNAL DO JÚRI (SUMARIANTE)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1ª DPF DO TRIBUNAL DO JÚRI (SUMARIANTE)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186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3ª DPF DO TRIBUNAL DO JÚRI (SUMARIANTE)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3ª DPF DO TRIBUNAL DO JÚRI (SUMARIANTE)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186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5ª DPF DO TRIBUNAL DO JÚRI (SUMARIANTE)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159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5ª DPF DO TRIBUNAL DO JÚRI (SUMARIANTE)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186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DPF DO TRIBUNAL DO JÚRI (PLENÁRIO)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2ª DPF DO TRIBUNAL DO JÚRI (PLENÁRIO)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 DPF DO TRIBUNAL DO JÚRI (PLENÁRIO)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4ª DPF DO TRIBUNAL DO JÚRI (PLENÁRIO)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6ª DPF DO TRIBUNAL DO JÚRI (PLENÁRIO)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Atendimento novo/retorno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106</w:t>
            </w:r>
          </w:p>
        </w:tc>
      </w:tr>
      <w:tr w:rsidR="008A1545" w:rsidRPr="008A1545" w:rsidTr="008A1545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CRIMINAL 1º Grau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6ª DPF DO TRIBUNAL DO JÚRI (PLENÁRIO)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Atos Judiciais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45" w:rsidRPr="008A1545" w:rsidRDefault="008A1545" w:rsidP="008A154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8A1545">
              <w:rPr>
                <w:rFonts w:ascii="Calibri" w:eastAsia="Times New Roman" w:hAnsi="Calibri" w:cs="Calibri"/>
              </w:rPr>
              <w:t>106</w:t>
            </w:r>
          </w:p>
        </w:tc>
      </w:tr>
    </w:tbl>
    <w:p w:rsidR="008A1545" w:rsidRDefault="008A1545" w:rsidP="00CE59EC">
      <w:pPr>
        <w:spacing w:after="120" w:line="360" w:lineRule="auto"/>
        <w:jc w:val="center"/>
        <w:rPr>
          <w:rFonts w:eastAsia="Calibri"/>
          <w:sz w:val="21"/>
          <w:szCs w:val="21"/>
        </w:rPr>
      </w:pPr>
    </w:p>
    <w:sectPr w:rsidR="008A154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8A" w:rsidRDefault="00C67F8A">
      <w:pPr>
        <w:spacing w:line="240" w:lineRule="auto"/>
      </w:pPr>
      <w:r>
        <w:separator/>
      </w:r>
    </w:p>
  </w:endnote>
  <w:endnote w:type="continuationSeparator" w:id="0">
    <w:p w:rsidR="00C67F8A" w:rsidRDefault="00C67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8A" w:rsidRDefault="00C67F8A">
      <w:pPr>
        <w:spacing w:line="240" w:lineRule="auto"/>
      </w:pPr>
      <w:r>
        <w:separator/>
      </w:r>
    </w:p>
  </w:footnote>
  <w:footnote w:type="continuationSeparator" w:id="0">
    <w:p w:rsidR="00C67F8A" w:rsidRDefault="00C67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EC" w:rsidRDefault="00CE59EC" w:rsidP="0059798C">
    <w:pPr>
      <w:jc w:val="center"/>
    </w:pPr>
    <w:r>
      <w:rPr>
        <w:noProof/>
      </w:rPr>
      <w:drawing>
        <wp:inline distT="0" distB="0" distL="0" distR="0">
          <wp:extent cx="3596640" cy="670560"/>
          <wp:effectExtent l="0" t="0" r="381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64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E59EC" w:rsidRDefault="00CE59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BD"/>
    <w:rsid w:val="00183438"/>
    <w:rsid w:val="00387F47"/>
    <w:rsid w:val="0059798C"/>
    <w:rsid w:val="005B7132"/>
    <w:rsid w:val="00650712"/>
    <w:rsid w:val="006C20A1"/>
    <w:rsid w:val="006D087F"/>
    <w:rsid w:val="00702CE2"/>
    <w:rsid w:val="008A1545"/>
    <w:rsid w:val="008B5217"/>
    <w:rsid w:val="00916645"/>
    <w:rsid w:val="009264A1"/>
    <w:rsid w:val="009C2349"/>
    <w:rsid w:val="00BF63B0"/>
    <w:rsid w:val="00C67F8A"/>
    <w:rsid w:val="00C95BF8"/>
    <w:rsid w:val="00CE59EC"/>
    <w:rsid w:val="00D97EE6"/>
    <w:rsid w:val="00F8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2D29-9081-4352-961F-CB233C7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25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5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71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712"/>
  </w:style>
  <w:style w:type="paragraph" w:styleId="Rodap">
    <w:name w:val="footer"/>
    <w:basedOn w:val="Normal"/>
    <w:link w:val="RodapChar"/>
    <w:uiPriority w:val="99"/>
    <w:unhideWhenUsed/>
    <w:rsid w:val="0065071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12"/>
  </w:style>
  <w:style w:type="character" w:styleId="Hyperlink">
    <w:name w:val="Hyperlink"/>
    <w:basedOn w:val="Fontepargpadro"/>
    <w:uiPriority w:val="99"/>
    <w:semiHidden/>
    <w:unhideWhenUsed/>
    <w:rsid w:val="008A154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A1545"/>
    <w:rPr>
      <w:color w:val="954F72"/>
      <w:u w:val="single"/>
    </w:rPr>
  </w:style>
  <w:style w:type="paragraph" w:customStyle="1" w:styleId="xl65">
    <w:name w:val="xl65"/>
    <w:basedOn w:val="Normal"/>
    <w:rsid w:val="008A15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15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15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1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8A1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1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1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1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1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A1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A1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A1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8A1545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A1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yvMgHdgu3vLVda/roVtmvC5Vw==">AMUW2mV2mL95rxOqyrc4ZFslOT1B9TSyZ8I5T6rbpycBLk8OJG/MtIkJ22ilr0xTIESAfvCW4r0J0Kys/PEBS7hrOJdpGvkX5XW++zu+8LAGuwR7+EZ4LMi4sKFbDsiz9HtPIKpQsT4Q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4243</Words>
  <Characters>22914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Érika Serrão Folhadela</dc:creator>
  <cp:lastModifiedBy>Érika Serrão Folhadela</cp:lastModifiedBy>
  <cp:revision>2</cp:revision>
  <cp:lastPrinted>2019-10-15T13:49:00Z</cp:lastPrinted>
  <dcterms:created xsi:type="dcterms:W3CDTF">2019-10-23T13:12:00Z</dcterms:created>
  <dcterms:modified xsi:type="dcterms:W3CDTF">2019-10-23T13:12:00Z</dcterms:modified>
</cp:coreProperties>
</file>