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7D0D" w14:textId="3251FA0C" w:rsidR="00BC0E47" w:rsidRPr="007C3FE4" w:rsidRDefault="0009655E" w:rsidP="0048539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  <w:r w:rsidRPr="007C3FE4">
        <w:rPr>
          <w:rFonts w:ascii="Arial" w:eastAsia="Arial" w:hAnsi="Arial" w:cs="Arial"/>
          <w:b/>
          <w:sz w:val="22"/>
          <w:szCs w:val="22"/>
        </w:rPr>
        <w:t>RESOLUÇÃO Nº 00</w:t>
      </w:r>
      <w:r w:rsidR="007C3FE4" w:rsidRPr="007C3FE4">
        <w:rPr>
          <w:rFonts w:ascii="Arial" w:eastAsia="Arial" w:hAnsi="Arial" w:cs="Arial"/>
          <w:b/>
          <w:sz w:val="22"/>
          <w:szCs w:val="22"/>
        </w:rPr>
        <w:t>7</w:t>
      </w:r>
      <w:r w:rsidRPr="007C3FE4">
        <w:rPr>
          <w:rFonts w:ascii="Arial" w:eastAsia="Arial" w:hAnsi="Arial" w:cs="Arial"/>
          <w:b/>
          <w:sz w:val="22"/>
          <w:szCs w:val="22"/>
        </w:rPr>
        <w:t>/2019-CSDPE/AM</w:t>
      </w:r>
    </w:p>
    <w:p w14:paraId="6485F043" w14:textId="7949E986" w:rsidR="00E53158" w:rsidRPr="00E53158" w:rsidRDefault="007C3FE4" w:rsidP="00E53158">
      <w:pPr>
        <w:ind w:left="4536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3FE4">
        <w:rPr>
          <w:rFonts w:ascii="Arial" w:hAnsi="Arial" w:cs="Arial"/>
          <w:b/>
          <w:bCs/>
          <w:color w:val="00000A"/>
          <w:sz w:val="18"/>
          <w:szCs w:val="18"/>
        </w:rPr>
        <w:t>Dispõe sobre a conversão da licença especial em pecúnia para os membros e servidores da Defensoria Pública do Estado do Amazonas</w:t>
      </w:r>
      <w:r w:rsidR="00E53158" w:rsidRPr="00E53158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015F1A2D" w14:textId="77777777" w:rsidR="00E53158" w:rsidRPr="00E53158" w:rsidRDefault="00E53158" w:rsidP="00E53158">
      <w:pPr>
        <w:rPr>
          <w:rFonts w:ascii="Arial" w:eastAsia="Times New Roman" w:hAnsi="Arial" w:cs="Arial"/>
          <w:b/>
          <w:sz w:val="22"/>
          <w:szCs w:val="22"/>
        </w:rPr>
      </w:pPr>
    </w:p>
    <w:p w14:paraId="41BD18A9" w14:textId="77777777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bCs/>
          <w:color w:val="00000A"/>
          <w:sz w:val="22"/>
          <w:szCs w:val="22"/>
        </w:rPr>
        <w:t>O CONSELHO SUPERIOR DA DEFENSORIA PÚBLICA DO ESTADO DO AMAZONAS,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no uso de suas atribuições legais, </w:t>
      </w:r>
    </w:p>
    <w:p w14:paraId="26DAB9F4" w14:textId="77777777" w:rsidR="007C3FE4" w:rsidRDefault="007C3FE4" w:rsidP="007C3FE4">
      <w:pPr>
        <w:jc w:val="both"/>
        <w:rPr>
          <w:rFonts w:ascii="Arial" w:eastAsia="Times New Roman" w:hAnsi="Arial" w:cs="Arial"/>
          <w:b/>
          <w:bCs/>
          <w:color w:val="00000A"/>
          <w:sz w:val="22"/>
          <w:szCs w:val="22"/>
        </w:rPr>
      </w:pPr>
    </w:p>
    <w:p w14:paraId="3FAA44CF" w14:textId="77777777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bCs/>
          <w:color w:val="00000A"/>
          <w:sz w:val="22"/>
          <w:szCs w:val="22"/>
        </w:rPr>
        <w:t>CONSIDERANDO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que compete ao Conselho Superior da Defensoria Pública do Estado do Amazonas exercer as atividades consultivas, normativas e decisórias, nos termos do art. 102, da LC n.º 80/1994 c/c art. 18 da LC n. 01/90 e art. 1º do Regimento Interno do CSDPE/AM;</w:t>
      </w:r>
    </w:p>
    <w:p w14:paraId="6AFB8CCB" w14:textId="77777777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bCs/>
          <w:color w:val="00000A"/>
          <w:sz w:val="22"/>
          <w:szCs w:val="22"/>
        </w:rPr>
        <w:t>CONSIDERANDO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a necessidade de se regulamentar a vantagem pecuniária prevista no art. 31, inciso X, da Lei n.º 4.077, de 11.09.2014;</w:t>
      </w:r>
    </w:p>
    <w:p w14:paraId="126BE3EC" w14:textId="77777777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bCs/>
          <w:color w:val="00000A"/>
          <w:sz w:val="22"/>
          <w:szCs w:val="22"/>
        </w:rPr>
        <w:t>CONSIDERANDO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que a vantagem pecuniária de licença especial convertida em pecúnia estende-se aos membros da Defensoria Pública, conforme previsão do §7°, do Art. 31 da Lei n.º 4.077, de 11.09.2014;</w:t>
      </w:r>
    </w:p>
    <w:p w14:paraId="1AB61643" w14:textId="77777777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bCs/>
          <w:color w:val="00000A"/>
          <w:sz w:val="22"/>
          <w:szCs w:val="22"/>
        </w:rPr>
        <w:t>CONSIDERANDO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que tais conversões devem ser levadas a efeito com estrita observância aos princípios da Administração Pública, notadamente da impessoalidade e da continuidade do serviço público;</w:t>
      </w:r>
    </w:p>
    <w:p w14:paraId="26C88F09" w14:textId="77777777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bCs/>
          <w:color w:val="00000A"/>
          <w:sz w:val="22"/>
          <w:szCs w:val="22"/>
        </w:rPr>
        <w:t>CONSIDERANDO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que o pagamento da licença especial possui caráter indenizatório, visando a compensação pelo não exercício de um direito em atenção a impossibilidade de interrupção das atividades </w:t>
      </w:r>
      <w:proofErr w:type="spellStart"/>
      <w:r w:rsidRPr="007C3FE4">
        <w:rPr>
          <w:rFonts w:ascii="Arial" w:eastAsia="Times New Roman" w:hAnsi="Arial" w:cs="Arial"/>
          <w:color w:val="00000A"/>
          <w:sz w:val="22"/>
          <w:szCs w:val="22"/>
        </w:rPr>
        <w:t>defensoriais</w:t>
      </w:r>
      <w:proofErr w:type="spellEnd"/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; </w:t>
      </w:r>
    </w:p>
    <w:p w14:paraId="772410E7" w14:textId="77777777" w:rsidR="007C3FE4" w:rsidRPr="007C3FE4" w:rsidRDefault="007C3FE4" w:rsidP="007C3FE4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3DA95672" w14:textId="77777777" w:rsidR="007C3FE4" w:rsidRPr="007C3FE4" w:rsidRDefault="007C3FE4" w:rsidP="007C3FE4">
      <w:pPr>
        <w:ind w:firstLine="2268"/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bCs/>
          <w:color w:val="00000A"/>
          <w:sz w:val="22"/>
          <w:szCs w:val="22"/>
        </w:rPr>
        <w:t>RESOLVE:</w:t>
      </w:r>
    </w:p>
    <w:p w14:paraId="246615E1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7B6210A2" w14:textId="53A27E2B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color w:val="00000A"/>
          <w:sz w:val="22"/>
          <w:szCs w:val="22"/>
        </w:rPr>
        <w:t>Art.  1º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Fica regulamentada por meio desta Resolução a conversão em pecúnia indenizatória dos períodos de licença especial, acumuladas e resguardadas nos assentamentos funcionais dos membros e servidores da Defensoria Pública do Estado do Amazonas.</w:t>
      </w:r>
    </w:p>
    <w:p w14:paraId="7C250405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331826AF" w14:textId="1BCF1163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color w:val="00000A"/>
          <w:sz w:val="22"/>
          <w:szCs w:val="22"/>
          <w:shd w:val="clear" w:color="auto" w:fill="FFFFFF"/>
        </w:rPr>
        <w:t>Art. 2º</w:t>
      </w:r>
      <w:r w:rsidRPr="007C3FE4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 Para fins de conversão em pecúnia, consideram-se licenças adquiridas aquelas que o membro ou servidor já possa usufruir de seu período de gozo.</w:t>
      </w:r>
    </w:p>
    <w:p w14:paraId="4090CC95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0E055523" w14:textId="7210F6A1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color w:val="00000A"/>
          <w:sz w:val="22"/>
          <w:szCs w:val="22"/>
        </w:rPr>
        <w:t>Art. 3º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O pedido de conversão da licença especial em pecúnia poderá ser formulado pelos membros e servidores, por escrito, devendo o requerimento ser endereçado à Diretoria Administrativa.</w:t>
      </w:r>
    </w:p>
    <w:p w14:paraId="7D9FCD7E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769B5A4C" w14:textId="38B26436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A"/>
          <w:sz w:val="22"/>
          <w:szCs w:val="22"/>
        </w:rPr>
        <w:t>§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>1º Após parecer quanto à aquisição do período aquisitivo para fruição da referida vantagem, o pedido será encaminhado para a Diretoria Financeira, a fim de avaliar a disponibilidade de recursos para fins de pagamento do benefício, devendo ser elaborado relatório técnico por escrito acerca do impacto financeiro decorrente do pedido.</w:t>
      </w:r>
    </w:p>
    <w:p w14:paraId="40E41BCE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0A0B93F8" w14:textId="6C4A4134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color w:val="00000A"/>
          <w:sz w:val="22"/>
          <w:szCs w:val="22"/>
        </w:rPr>
        <w:t>§2º O relatório de impacto financeiro será encaminhado, juntamente com o pedido e demais informações, ao Defensor Público Geral para deliberação final.</w:t>
      </w:r>
    </w:p>
    <w:p w14:paraId="7938344F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7C3BA2C5" w14:textId="5E15DD88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color w:val="00000A"/>
          <w:sz w:val="22"/>
          <w:szCs w:val="22"/>
        </w:rPr>
        <w:lastRenderedPageBreak/>
        <w:t>§</w:t>
      </w:r>
      <w:r>
        <w:rPr>
          <w:rFonts w:ascii="Arial" w:eastAsia="Times New Roman" w:hAnsi="Arial" w:cs="Arial"/>
          <w:color w:val="00000A"/>
          <w:sz w:val="22"/>
          <w:szCs w:val="22"/>
        </w:rPr>
        <w:t>3º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O pedido de conversão da licença especial em pecúnia poderá abranger o período total de licença ou fração dele. </w:t>
      </w:r>
    </w:p>
    <w:p w14:paraId="16E06B4F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3A818666" w14:textId="07E096D5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color w:val="00000A"/>
          <w:sz w:val="22"/>
          <w:szCs w:val="22"/>
        </w:rPr>
        <w:t>Art. 4°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Para o deferimento do pedido de conversão da Licença Prêmio em pecúnia, serão avaliados os dados de impacto financeiro, a disponibilidade orçamentária, bem como a conveniência e oportunidade administrativa, assim compreendidas como o exame acerca da imprescindibilidade de manutenção do requerente no exercício das atribuições do seu cargo, a fim de evitar prejuízo à regular continuidade da prestação dos serviços públicos.</w:t>
      </w:r>
    </w:p>
    <w:p w14:paraId="160DC296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28EEAB91" w14:textId="4E07167C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color w:val="00000A"/>
          <w:sz w:val="22"/>
          <w:szCs w:val="22"/>
        </w:rPr>
        <w:t>Art. 5°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Em caso de deferimento do pedido de conversão da Licença Prêmio em pecúnia, observada a disponibilidade de recursos financeiros e orçamentários, o pagamento poderá ser realizado em até 6 (seis) parcelas, juntamente com a folha de pagamento, ficando vedado o acréscimo de juros e correção monetária decorrentes do parcelamento.</w:t>
      </w:r>
    </w:p>
    <w:p w14:paraId="6738A08E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02746159" w14:textId="00F67A3A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color w:val="00000A"/>
          <w:sz w:val="22"/>
          <w:szCs w:val="22"/>
        </w:rPr>
        <w:t>Art. 6°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O pagamento da conversão, quando deferida, será realizado sempre observando a ordem cronológica dos requerimentos, podendo ocorrer de forma concomitante, desde que haja disponibilidade orçamentária e financeira.</w:t>
      </w:r>
    </w:p>
    <w:p w14:paraId="45C74D2D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09E899E2" w14:textId="0ABBBB1F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color w:val="00000A"/>
          <w:sz w:val="22"/>
          <w:szCs w:val="22"/>
        </w:rPr>
        <w:t>§1º Caso os requerimentos sejam protocolados na mesma data e hora, a ordem cronológica para pagamento observará a aquisição do benefício pelo membro ou servidor da Defensoria Pública. Caso o direito tenha sido adquirido na mesma data, o critério de desempate será a idade do requerente.</w:t>
      </w:r>
    </w:p>
    <w:p w14:paraId="3B64381C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0EC96F2E" w14:textId="0E3783A2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A"/>
          <w:sz w:val="22"/>
          <w:szCs w:val="22"/>
        </w:rPr>
        <w:t>§2º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O pagamento da conversão em pecúnia será deferido em períodos nunca inferiores a 15 (quinze) dias, ficando o pagamento a partir desse período condicionado ao atendimento de outros requerentes, em igualdade de condições, sempre ressalvado o interesse público.</w:t>
      </w:r>
    </w:p>
    <w:p w14:paraId="60BAE57E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7D02EBEF" w14:textId="02C184D1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color w:val="00000A"/>
          <w:sz w:val="22"/>
          <w:szCs w:val="22"/>
        </w:rPr>
        <w:t>Art. 7º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O valor da indenização de licença considerará a remunera</w:t>
      </w:r>
      <w:r w:rsidRPr="007C3FE4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ção do mês anterior ao do pagamento d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a vantagem, incluindo-se a decorrente das funções gratificadas e cargos comissionados. </w:t>
      </w:r>
    </w:p>
    <w:p w14:paraId="742235DE" w14:textId="77777777" w:rsidR="007C3FE4" w:rsidRPr="007C3FE4" w:rsidRDefault="007C3FE4" w:rsidP="007C3FE4">
      <w:pPr>
        <w:ind w:firstLine="2268"/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</w:t>
      </w:r>
    </w:p>
    <w:p w14:paraId="5F798433" w14:textId="55110AC9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color w:val="00000A"/>
          <w:sz w:val="22"/>
          <w:szCs w:val="22"/>
        </w:rPr>
        <w:t>Art. 8º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No mês de janeiro de cada exercício financeiro, o Defensor Público Geral solicitará à Diretoria de Planejamento e Gestão estudo sobre a disponibilidade financeira e orçamentária para custear despesas com pagamento de licenças convertidas em pecúnia.</w:t>
      </w:r>
    </w:p>
    <w:p w14:paraId="53D190C9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29AC5D51" w14:textId="09D79818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7C3FE4">
        <w:rPr>
          <w:rFonts w:ascii="Arial" w:eastAsia="Times New Roman" w:hAnsi="Arial" w:cs="Arial"/>
          <w:b/>
          <w:color w:val="00000A"/>
          <w:sz w:val="22"/>
          <w:szCs w:val="22"/>
        </w:rPr>
        <w:t>Art. 9º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Os casos omissos serão submetidos e dirimidos pelo Defensor Público Geral.</w:t>
      </w:r>
    </w:p>
    <w:p w14:paraId="5484AE49" w14:textId="77777777" w:rsidR="007C3FE4" w:rsidRPr="007C3FE4" w:rsidRDefault="007C3FE4" w:rsidP="007C3FE4">
      <w:pPr>
        <w:rPr>
          <w:rFonts w:ascii="Arial" w:eastAsia="Times New Roman" w:hAnsi="Arial" w:cs="Arial"/>
          <w:sz w:val="22"/>
          <w:szCs w:val="22"/>
        </w:rPr>
      </w:pPr>
    </w:p>
    <w:p w14:paraId="011F19C3" w14:textId="2EF27762" w:rsidR="007C3FE4" w:rsidRPr="007C3FE4" w:rsidRDefault="007C3FE4" w:rsidP="007C3FE4">
      <w:pPr>
        <w:jc w:val="both"/>
        <w:rPr>
          <w:rFonts w:ascii="Arial" w:eastAsia="Times New Roman" w:hAnsi="Arial" w:cs="Arial"/>
          <w:sz w:val="22"/>
          <w:szCs w:val="22"/>
        </w:rPr>
      </w:pPr>
      <w:r w:rsidRPr="00932DCD">
        <w:rPr>
          <w:rFonts w:ascii="Arial" w:eastAsia="Times New Roman" w:hAnsi="Arial" w:cs="Arial"/>
          <w:b/>
          <w:color w:val="00000A"/>
          <w:sz w:val="22"/>
          <w:szCs w:val="22"/>
        </w:rPr>
        <w:t>Art. 10</w:t>
      </w:r>
      <w:r w:rsidRPr="007C3FE4">
        <w:rPr>
          <w:rFonts w:ascii="Arial" w:eastAsia="Times New Roman" w:hAnsi="Arial" w:cs="Arial"/>
          <w:color w:val="00000A"/>
          <w:sz w:val="22"/>
          <w:szCs w:val="22"/>
        </w:rPr>
        <w:t xml:space="preserve"> Esta resolução entrará em vigor na data de sua publicação, revogadas as disposições em contrário.</w:t>
      </w:r>
    </w:p>
    <w:p w14:paraId="36840790" w14:textId="77777777" w:rsidR="00932DCD" w:rsidRDefault="00932DCD" w:rsidP="00932DCD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right="7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Manaus-AM, 24 de abri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l de 2019.</w:t>
      </w:r>
    </w:p>
    <w:p w14:paraId="0223019F" w14:textId="77777777" w:rsidR="00932DCD" w:rsidRDefault="00932DCD" w:rsidP="00932DCD">
      <w:pPr>
        <w:tabs>
          <w:tab w:val="left" w:pos="426"/>
        </w:tabs>
        <w:ind w:right="78"/>
        <w:jc w:val="center"/>
        <w:rPr>
          <w:rFonts w:ascii="Arial" w:eastAsia="Arial" w:hAnsi="Arial" w:cs="Arial"/>
          <w:sz w:val="22"/>
          <w:szCs w:val="22"/>
        </w:rPr>
      </w:pPr>
    </w:p>
    <w:p w14:paraId="1401F03B" w14:textId="77777777" w:rsidR="00932DCD" w:rsidRDefault="00932DCD" w:rsidP="00932DCD">
      <w:pPr>
        <w:tabs>
          <w:tab w:val="left" w:pos="426"/>
        </w:tabs>
        <w:ind w:right="7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Rafael Vinheiro Monteiro Barbosa</w:t>
      </w:r>
    </w:p>
    <w:p w14:paraId="2969B525" w14:textId="77777777" w:rsidR="00932DCD" w:rsidRDefault="00932DCD" w:rsidP="00932DCD">
      <w:pPr>
        <w:tabs>
          <w:tab w:val="left" w:pos="426"/>
        </w:tabs>
        <w:ind w:right="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Defensor Público-Geral</w:t>
      </w:r>
    </w:p>
    <w:p w14:paraId="06F89B20" w14:textId="199D0CC3" w:rsidR="000C648B" w:rsidRPr="007C3FE4" w:rsidRDefault="00932DCD" w:rsidP="00932DCD">
      <w:pPr>
        <w:tabs>
          <w:tab w:val="left" w:pos="426"/>
        </w:tabs>
        <w:ind w:right="78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 do Conselho Superior</w:t>
      </w:r>
    </w:p>
    <w:sectPr w:rsidR="000C648B" w:rsidRPr="007C3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660" w:right="1800" w:bottom="993" w:left="1800" w:header="708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5206" w14:textId="77777777" w:rsidR="00EF3680" w:rsidRDefault="00EF3680">
      <w:r>
        <w:separator/>
      </w:r>
    </w:p>
  </w:endnote>
  <w:endnote w:type="continuationSeparator" w:id="0">
    <w:p w14:paraId="4334D9D3" w14:textId="77777777" w:rsidR="00EF3680" w:rsidRDefault="00EF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3A26" w14:textId="77777777" w:rsidR="00BC0E47" w:rsidRDefault="00BC0E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44D7" w14:textId="77777777" w:rsidR="00BC0E47" w:rsidRDefault="000965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932DCD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2AD4E797" w14:textId="77777777" w:rsidR="00BC0E47" w:rsidRDefault="00BC0E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803F3" w14:textId="77777777" w:rsidR="00BC0E47" w:rsidRDefault="00BC0E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A692" w14:textId="77777777" w:rsidR="00EF3680" w:rsidRDefault="00EF3680">
      <w:r>
        <w:separator/>
      </w:r>
    </w:p>
  </w:footnote>
  <w:footnote w:type="continuationSeparator" w:id="0">
    <w:p w14:paraId="6CD4D8FB" w14:textId="77777777" w:rsidR="00EF3680" w:rsidRDefault="00EF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416D5" w14:textId="77777777" w:rsidR="00BC0E47" w:rsidRDefault="00BC0E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3691" w14:textId="77777777" w:rsidR="00BC0E47" w:rsidRDefault="0009655E">
    <w:pPr>
      <w:spacing w:line="276" w:lineRule="auto"/>
      <w:ind w:left="3544" w:right="-205"/>
      <w:jc w:val="right"/>
      <w:rPr>
        <w:rFonts w:ascii="Arial" w:eastAsia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8FB35A" wp14:editId="70E0451B">
          <wp:simplePos x="0" y="0"/>
          <wp:positionH relativeFrom="column">
            <wp:posOffset>-571497</wp:posOffset>
          </wp:positionH>
          <wp:positionV relativeFrom="paragraph">
            <wp:posOffset>127635</wp:posOffset>
          </wp:positionV>
          <wp:extent cx="2985135" cy="82042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513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1E4FD1" w14:textId="77777777" w:rsidR="00BC0E47" w:rsidRDefault="0009655E">
    <w:pPr>
      <w:spacing w:line="276" w:lineRule="auto"/>
      <w:ind w:left="3544" w:right="-631"/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Conselho Superior</w:t>
    </w:r>
  </w:p>
  <w:p w14:paraId="2FE8B136" w14:textId="77777777" w:rsidR="00BC0E47" w:rsidRDefault="0009655E">
    <w:pPr>
      <w:spacing w:line="276" w:lineRule="auto"/>
      <w:ind w:left="4111" w:right="-631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Maceió, 307 | Nossa Senhora das Graças | Manaus/AM | CEP 69053 – 135 | Telefone (92) 98408-7947| E-mail: conselhosuperior@defensoria.am.gov.br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66C80C99" wp14:editId="23984A16">
              <wp:simplePos x="0" y="0"/>
              <wp:positionH relativeFrom="column">
                <wp:posOffset>-1257299</wp:posOffset>
              </wp:positionH>
              <wp:positionV relativeFrom="paragraph">
                <wp:posOffset>805196</wp:posOffset>
              </wp:positionV>
              <wp:extent cx="7791450" cy="3175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1055AC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99pt;margin-top:63.4pt;width:613.5pt;height:2.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vu4wEAALoDAAAOAAAAZHJzL2Uyb0RvYy54bWysU01v2zAMvQ/YfxB0X+xkzdIGcXpI1l2G&#10;LcC2H8BKcixMXyDVOPn3o5S03dZDgWEXmjLJR74nanV79E4cDJKNoZPTSSuFCSpqG/ad/PH97t21&#10;FJQhaHAxmE6eDMnb9ds3qzEtzSwO0WmDgkECLcfUySHntGwaUoPxQJOYTOBgH9FD5iPuG40wMrp3&#10;zaxtPzRjRJ0wKkPEf7fnoFxX/L43Kn/tezJZuE7ybLlarPa+2Ga9guUeIQ1WXcaAf5jCgw3c9Alq&#10;CxnEA9oXUN4qjBT7PFHRN7HvrTKVA7OZtn+x+TZAMpULi0PpSSb6f7Dqy2GHwmq+OykCeL6iDV+U&#10;yhGFNoKVA4HFTItUY6IlV2zCDi8nSjssvI89+vJlRuLIYFfzm+uWBT918v2CPfar1OaYheKExWIx&#10;uyoJijNqrHkGSUj5k4leFKeTlBHsfsg82HmyaZUaDp8pMygXPhaUCUK8s87VZi6IsZM389mc+wBv&#10;V+8gs+sT86WwrzAUndWlpBTXvTMbh+IAvDH6Z6XNHf7IKu22QMM5qYbO7DA+BF1bDwb0x6BFPiWW&#10;NLCkssxCXgpn+KWwU/MyWPd6Hg/gAjMt+p8VL9591Kd6EfU/L0jV4rLMZQN/P9fq5ye3/gUAAP//&#10;AwBQSwMEFAAGAAgAAAAhAGVGV2DkAAAADQEAAA8AAABkcnMvZG93bnJldi54bWxMj8FOwzAQRO9I&#10;/IO1SNxaJ0EKaRqnQpVaDohKFKTSmxtv40BsR7bbhr9ne4Lb7s5odl61GE3PzuhD56yAdJoAQ9s4&#10;1dlWwMf7alIAC1FaJXtnUcAPBljUtzeVLJW72Dc8b2PLKMSGUgrQMQ4l56HRaGSYugEtaUfnjYy0&#10;+pYrLy8UbnqeJUnOjewsfdBywKXG5nt7MgJWn5vmUftj/qKf98u43uzWX687Ie7vxqc5sIhj/DPD&#10;tT5Vh5o6HdzJqsB6AZN0VhBMJCXLCeJqSbIZnQ40PaQF8Lri/ynqXwAAAP//AwBQSwECLQAUAAYA&#10;CAAAACEAtoM4kv4AAADhAQAAEwAAAAAAAAAAAAAAAAAAAAAAW0NvbnRlbnRfVHlwZXNdLnhtbFBL&#10;AQItABQABgAIAAAAIQA4/SH/1gAAAJQBAAALAAAAAAAAAAAAAAAAAC8BAABfcmVscy8ucmVsc1BL&#10;AQItABQABgAIAAAAIQDKsyvu4wEAALoDAAAOAAAAAAAAAAAAAAAAAC4CAABkcnMvZTJvRG9jLnht&#10;bFBLAQItABQABgAIAAAAIQBlRldg5AAAAA0BAAAPAAAAAAAAAAAAAAAAAD0EAABkcnMvZG93bnJl&#10;di54bWxQSwUGAAAAAAQABADzAAAATgUAAAAA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14:paraId="0CE32582" w14:textId="77777777" w:rsidR="00BC0E47" w:rsidRDefault="00BC0E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5ACA" w14:textId="77777777" w:rsidR="00BC0E47" w:rsidRDefault="00BC0E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47"/>
    <w:rsid w:val="00031518"/>
    <w:rsid w:val="0009655E"/>
    <w:rsid w:val="000C648B"/>
    <w:rsid w:val="000F3640"/>
    <w:rsid w:val="002710D0"/>
    <w:rsid w:val="0048539C"/>
    <w:rsid w:val="007C3FE4"/>
    <w:rsid w:val="00932DCD"/>
    <w:rsid w:val="00BC0E47"/>
    <w:rsid w:val="00CF76E9"/>
    <w:rsid w:val="00DE6025"/>
    <w:rsid w:val="00E53158"/>
    <w:rsid w:val="00EF3680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F52D"/>
  <w15:docId w15:val="{6BEC83DB-0C63-4427-8EAF-B5B01DB3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360"/>
      </w:tabs>
      <w:spacing w:before="120" w:after="240" w:line="360" w:lineRule="auto"/>
      <w:jc w:val="center"/>
      <w:outlineLvl w:val="0"/>
    </w:pPr>
    <w:rPr>
      <w:rFonts w:ascii="Book Antiqua" w:eastAsia="Book Antiqua" w:hAnsi="Book Antiqua" w:cs="Book Antiqua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6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6E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10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10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5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EBBE-B0F3-493C-BEE1-3AD9301D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Érika Serrão Folhadela</dc:creator>
  <cp:lastModifiedBy>Érika Serrão Folhadela</cp:lastModifiedBy>
  <cp:revision>3</cp:revision>
  <dcterms:created xsi:type="dcterms:W3CDTF">2019-03-28T14:42:00Z</dcterms:created>
  <dcterms:modified xsi:type="dcterms:W3CDTF">2019-04-25T17:35:00Z</dcterms:modified>
</cp:coreProperties>
</file>